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83" w:rsidRPr="00E15C22" w:rsidRDefault="0023727F" w:rsidP="00042983">
      <w:pPr>
        <w:autoSpaceDE w:val="0"/>
        <w:autoSpaceDN w:val="0"/>
        <w:adjustRightInd w:val="0"/>
        <w:spacing w:after="0" w:line="276" w:lineRule="auto"/>
        <w:jc w:val="center"/>
        <w:rPr>
          <w:rFonts w:ascii="Arial" w:eastAsia="Calibri" w:hAnsi="Arial" w:cs="Arial"/>
          <w:color w:val="000000"/>
          <w:sz w:val="24"/>
          <w:szCs w:val="24"/>
          <w:lang w:val="en-US"/>
        </w:rPr>
      </w:pPr>
      <w:bookmarkStart w:id="0" w:name="_GoBack"/>
      <w:bookmarkEnd w:id="0"/>
      <w:r>
        <w:rPr>
          <w:rFonts w:ascii="Arial" w:eastAsia="Calibri" w:hAnsi="Arial" w:cs="Arial"/>
          <w:noProof/>
          <w:color w:val="000000"/>
          <w:sz w:val="24"/>
          <w:szCs w:val="24"/>
          <w:lang w:val="en-US"/>
        </w:rPr>
        <w:drawing>
          <wp:inline distT="0" distB="0" distL="0" distR="0">
            <wp:extent cx="3781425" cy="186404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k pravoagolno.jpg"/>
                    <pic:cNvPicPr/>
                  </pic:nvPicPr>
                  <pic:blipFill>
                    <a:blip r:embed="rId8">
                      <a:extLst>
                        <a:ext uri="{28A0092B-C50C-407E-A947-70E740481C1C}">
                          <a14:useLocalDpi xmlns:a14="http://schemas.microsoft.com/office/drawing/2010/main" val="0"/>
                        </a:ext>
                      </a:extLst>
                    </a:blip>
                    <a:stretch>
                      <a:fillRect/>
                    </a:stretch>
                  </pic:blipFill>
                  <pic:spPr>
                    <a:xfrm>
                      <a:off x="0" y="0"/>
                      <a:ext cx="3796642" cy="1871550"/>
                    </a:xfrm>
                    <a:prstGeom prst="rect">
                      <a:avLst/>
                    </a:prstGeom>
                  </pic:spPr>
                </pic:pic>
              </a:graphicData>
            </a:graphic>
          </wp:inline>
        </w:drawing>
      </w:r>
    </w:p>
    <w:p w:rsidR="00042983" w:rsidRPr="00042983" w:rsidRDefault="00042983" w:rsidP="00042983">
      <w:pPr>
        <w:spacing w:after="0" w:line="276" w:lineRule="auto"/>
        <w:jc w:val="center"/>
        <w:rPr>
          <w:rFonts w:ascii="Arial" w:eastAsia="Calibri" w:hAnsi="Arial" w:cs="Arial"/>
          <w:b/>
          <w:bCs/>
          <w:sz w:val="24"/>
          <w:szCs w:val="24"/>
        </w:rPr>
      </w:pPr>
    </w:p>
    <w:p w:rsidR="00042983" w:rsidRPr="00042983" w:rsidRDefault="00042983" w:rsidP="00042983">
      <w:pPr>
        <w:spacing w:after="0" w:line="276" w:lineRule="auto"/>
        <w:jc w:val="center"/>
        <w:rPr>
          <w:rFonts w:ascii="Arial" w:eastAsia="Calibri" w:hAnsi="Arial" w:cs="Arial"/>
          <w:b/>
          <w:bCs/>
          <w:sz w:val="24"/>
          <w:szCs w:val="24"/>
        </w:rPr>
      </w:pPr>
    </w:p>
    <w:p w:rsidR="00042983" w:rsidRPr="00042983" w:rsidRDefault="00042983" w:rsidP="00042983">
      <w:pPr>
        <w:spacing w:after="0" w:line="276" w:lineRule="auto"/>
        <w:jc w:val="center"/>
        <w:rPr>
          <w:rFonts w:ascii="Arial" w:eastAsia="Calibri" w:hAnsi="Arial" w:cs="Arial"/>
          <w:b/>
          <w:bCs/>
          <w:sz w:val="24"/>
          <w:szCs w:val="24"/>
        </w:rPr>
      </w:pPr>
      <w:r w:rsidRPr="00042983">
        <w:rPr>
          <w:rFonts w:ascii="Arial" w:eastAsia="Calibri" w:hAnsi="Arial" w:cs="Arial"/>
          <w:b/>
          <w:bCs/>
          <w:sz w:val="24"/>
          <w:szCs w:val="24"/>
        </w:rPr>
        <w:t>Периодичен Извештај</w:t>
      </w:r>
    </w:p>
    <w:p w:rsidR="007D77A5" w:rsidRDefault="00042983" w:rsidP="00042983">
      <w:pPr>
        <w:spacing w:after="0" w:line="276" w:lineRule="auto"/>
        <w:jc w:val="center"/>
        <w:rPr>
          <w:rFonts w:ascii="Arial" w:eastAsia="Calibri" w:hAnsi="Arial" w:cs="Arial"/>
          <w:b/>
          <w:bCs/>
          <w:sz w:val="24"/>
          <w:szCs w:val="24"/>
        </w:rPr>
      </w:pPr>
      <w:r w:rsidRPr="00042983">
        <w:rPr>
          <w:rFonts w:ascii="Arial" w:eastAsia="Calibri" w:hAnsi="Arial" w:cs="Arial"/>
          <w:b/>
          <w:bCs/>
          <w:sz w:val="24"/>
          <w:szCs w:val="24"/>
        </w:rPr>
        <w:t xml:space="preserve">за застапеноста на детските права во работата на </w:t>
      </w:r>
    </w:p>
    <w:p w:rsidR="00042983" w:rsidRPr="00E15C22" w:rsidRDefault="00E15C22" w:rsidP="00042983">
      <w:pPr>
        <w:spacing w:after="0" w:line="276" w:lineRule="auto"/>
        <w:jc w:val="center"/>
        <w:rPr>
          <w:rFonts w:ascii="Arial" w:eastAsia="Calibri" w:hAnsi="Arial" w:cs="Arial"/>
          <w:b/>
          <w:bCs/>
          <w:sz w:val="24"/>
          <w:szCs w:val="24"/>
        </w:rPr>
      </w:pPr>
      <w:r>
        <w:rPr>
          <w:rFonts w:ascii="Arial" w:eastAsia="Calibri" w:hAnsi="Arial" w:cs="Arial"/>
          <w:b/>
          <w:bCs/>
          <w:sz w:val="24"/>
          <w:szCs w:val="24"/>
        </w:rPr>
        <w:t>македонското Собрание</w:t>
      </w:r>
    </w:p>
    <w:p w:rsidR="00042983" w:rsidRPr="00042983" w:rsidRDefault="00042983" w:rsidP="00042983">
      <w:pPr>
        <w:spacing w:after="0" w:line="276" w:lineRule="auto"/>
        <w:jc w:val="center"/>
        <w:rPr>
          <w:rFonts w:ascii="Arial" w:eastAsia="Calibri" w:hAnsi="Arial" w:cs="Arial"/>
          <w:b/>
          <w:bCs/>
          <w:sz w:val="24"/>
          <w:szCs w:val="24"/>
        </w:rPr>
      </w:pPr>
    </w:p>
    <w:p w:rsidR="00042983" w:rsidRPr="00042983" w:rsidRDefault="00042983" w:rsidP="007D77A5">
      <w:pPr>
        <w:spacing w:after="0" w:line="276" w:lineRule="auto"/>
        <w:jc w:val="center"/>
        <w:rPr>
          <w:rFonts w:ascii="Arial" w:eastAsia="Calibri" w:hAnsi="Arial" w:cs="Arial"/>
          <w:sz w:val="24"/>
          <w:szCs w:val="24"/>
        </w:rPr>
      </w:pPr>
      <w:r w:rsidRPr="00042983">
        <w:rPr>
          <w:rFonts w:ascii="Arial" w:eastAsia="Calibri" w:hAnsi="Arial" w:cs="Arial"/>
          <w:b/>
          <w:bCs/>
          <w:sz w:val="24"/>
          <w:szCs w:val="24"/>
        </w:rPr>
        <w:t>01 јули – 20 декември 2019 година</w:t>
      </w:r>
    </w:p>
    <w:p w:rsidR="00042983" w:rsidRPr="00042983" w:rsidRDefault="00042983" w:rsidP="00042983">
      <w:pPr>
        <w:spacing w:after="0" w:line="276" w:lineRule="auto"/>
        <w:jc w:val="center"/>
        <w:rPr>
          <w:rFonts w:ascii="Arial" w:eastAsia="Calibri" w:hAnsi="Arial" w:cs="Arial"/>
          <w:sz w:val="24"/>
          <w:szCs w:val="24"/>
        </w:rPr>
      </w:pPr>
    </w:p>
    <w:p w:rsidR="00042983" w:rsidRPr="00042983" w:rsidRDefault="00042983" w:rsidP="00042983">
      <w:pPr>
        <w:spacing w:after="0" w:line="276" w:lineRule="auto"/>
        <w:jc w:val="right"/>
        <w:rPr>
          <w:rFonts w:ascii="Arial" w:eastAsia="Calibri" w:hAnsi="Arial" w:cs="Arial"/>
          <w:sz w:val="24"/>
          <w:szCs w:val="24"/>
        </w:rPr>
      </w:pPr>
    </w:p>
    <w:p w:rsidR="007D77A5" w:rsidRDefault="007D77A5" w:rsidP="00042983">
      <w:pPr>
        <w:autoSpaceDE w:val="0"/>
        <w:autoSpaceDN w:val="0"/>
        <w:adjustRightInd w:val="0"/>
        <w:spacing w:after="0" w:line="276" w:lineRule="auto"/>
        <w:jc w:val="both"/>
        <w:rPr>
          <w:rFonts w:ascii="Arial" w:eastAsia="Calibri" w:hAnsi="Arial" w:cs="Arial"/>
          <w:color w:val="000000"/>
          <w:sz w:val="24"/>
          <w:szCs w:val="24"/>
        </w:rPr>
      </w:pPr>
    </w:p>
    <w:p w:rsidR="00042983" w:rsidRPr="00042983" w:rsidRDefault="00042983" w:rsidP="007D77A5">
      <w:pPr>
        <w:autoSpaceDE w:val="0"/>
        <w:autoSpaceDN w:val="0"/>
        <w:adjustRightInd w:val="0"/>
        <w:spacing w:after="0" w:line="276" w:lineRule="auto"/>
        <w:jc w:val="both"/>
        <w:rPr>
          <w:rFonts w:ascii="Arial" w:eastAsia="Calibri" w:hAnsi="Arial" w:cs="Arial"/>
          <w:color w:val="000000"/>
          <w:sz w:val="24"/>
          <w:szCs w:val="24"/>
        </w:rPr>
      </w:pPr>
      <w:r w:rsidRPr="00042983">
        <w:rPr>
          <w:rFonts w:ascii="Arial" w:eastAsia="Calibri" w:hAnsi="Arial" w:cs="Arial"/>
          <w:color w:val="000000"/>
          <w:sz w:val="24"/>
          <w:szCs w:val="24"/>
        </w:rPr>
        <w:t>Извештајот има за цел да направи преглед на нивото на претставување на детските права од страна на пратениците во согласност со Конвенцијата за правата на децата. Утврдените наоди и заклучоци не пре</w:t>
      </w:r>
      <w:r w:rsidR="0058568B">
        <w:rPr>
          <w:rFonts w:ascii="Arial" w:eastAsia="Calibri" w:hAnsi="Arial" w:cs="Arial"/>
          <w:color w:val="000000"/>
          <w:sz w:val="24"/>
          <w:szCs w:val="24"/>
        </w:rPr>
        <w:t>т</w:t>
      </w:r>
      <w:r w:rsidRPr="00042983">
        <w:rPr>
          <w:rFonts w:ascii="Arial" w:eastAsia="Calibri" w:hAnsi="Arial" w:cs="Arial"/>
          <w:color w:val="000000"/>
          <w:sz w:val="24"/>
          <w:szCs w:val="24"/>
        </w:rPr>
        <w:t xml:space="preserve">ставуваат целосно отсликување на работата на </w:t>
      </w:r>
      <w:r w:rsidR="00E15C22">
        <w:rPr>
          <w:rFonts w:ascii="Arial" w:eastAsia="Calibri" w:hAnsi="Arial" w:cs="Arial"/>
          <w:color w:val="000000"/>
          <w:sz w:val="24"/>
          <w:szCs w:val="24"/>
        </w:rPr>
        <w:t>македонското Собрание</w:t>
      </w:r>
      <w:r w:rsidRPr="00042983">
        <w:rPr>
          <w:rFonts w:ascii="Arial" w:eastAsia="Calibri" w:hAnsi="Arial" w:cs="Arial"/>
          <w:color w:val="000000"/>
          <w:sz w:val="24"/>
          <w:szCs w:val="24"/>
        </w:rPr>
        <w:t xml:space="preserve">, но имаат за цел да ги поттикнат пратениците, собраниските служби и останатите тела во функција на Собранието да стават поголем фокус на детските права во агендата на Собранието а во согласност со Конвенцијата за правата на детето, ратификувана во 1993 година. </w:t>
      </w:r>
    </w:p>
    <w:p w:rsidR="00042983" w:rsidRPr="00042983" w:rsidRDefault="00042983" w:rsidP="00042983">
      <w:pPr>
        <w:spacing w:after="0" w:line="276" w:lineRule="auto"/>
        <w:jc w:val="both"/>
        <w:rPr>
          <w:rFonts w:ascii="Arial" w:eastAsia="Calibri" w:hAnsi="Arial" w:cs="Arial"/>
          <w:color w:val="000000"/>
          <w:sz w:val="24"/>
          <w:szCs w:val="24"/>
        </w:rPr>
      </w:pPr>
    </w:p>
    <w:p w:rsid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 xml:space="preserve">Понатаму, улогата на овој извештај не е само да ја покаже состојбата со примената на Конвенцијата во работата на Собранието на </w:t>
      </w:r>
      <w:r w:rsidR="00E15C22">
        <w:rPr>
          <w:rFonts w:ascii="Arial" w:eastAsia="Calibri" w:hAnsi="Arial" w:cs="Arial"/>
          <w:sz w:val="24"/>
          <w:szCs w:val="24"/>
        </w:rPr>
        <w:t>Македонија</w:t>
      </w:r>
      <w:r w:rsidRPr="00042983">
        <w:rPr>
          <w:rFonts w:ascii="Arial" w:eastAsia="Calibri" w:hAnsi="Arial" w:cs="Arial"/>
          <w:sz w:val="24"/>
          <w:szCs w:val="24"/>
        </w:rPr>
        <w:t xml:space="preserve">, туку во исто време да послужи како алатка за развивање на активности за застапување од страна на граѓанските организации пред Собранието како институција и пратениците во рамките на Собранието. </w:t>
      </w:r>
    </w:p>
    <w:p w:rsidR="007D77A5" w:rsidRDefault="007D77A5" w:rsidP="00042983">
      <w:pPr>
        <w:spacing w:after="0" w:line="276" w:lineRule="auto"/>
        <w:jc w:val="both"/>
        <w:rPr>
          <w:rFonts w:ascii="Arial" w:eastAsia="Calibri" w:hAnsi="Arial" w:cs="Arial"/>
          <w:sz w:val="24"/>
          <w:szCs w:val="24"/>
        </w:rPr>
      </w:pPr>
    </w:p>
    <w:p w:rsidR="007D77A5" w:rsidRDefault="007D77A5" w:rsidP="00042983">
      <w:pPr>
        <w:spacing w:after="0" w:line="276" w:lineRule="auto"/>
        <w:jc w:val="both"/>
        <w:rPr>
          <w:rFonts w:ascii="Arial" w:eastAsia="Calibri" w:hAnsi="Arial" w:cs="Arial"/>
          <w:sz w:val="24"/>
          <w:szCs w:val="24"/>
        </w:rPr>
      </w:pPr>
      <w:r>
        <w:rPr>
          <w:rFonts w:ascii="Arial" w:eastAsia="Calibri" w:hAnsi="Arial" w:cs="Arial"/>
          <w:sz w:val="24"/>
          <w:szCs w:val="24"/>
        </w:rPr>
        <w:t>Целосниот извештај може да го преземете на следниов линк:</w:t>
      </w:r>
    </w:p>
    <w:p w:rsidR="00042983" w:rsidRDefault="003C07E5" w:rsidP="00042983">
      <w:pPr>
        <w:spacing w:after="0" w:line="276" w:lineRule="auto"/>
        <w:jc w:val="both"/>
      </w:pPr>
      <w:hyperlink r:id="rId9" w:history="1">
        <w:r w:rsidR="007B19DF">
          <w:rPr>
            <w:rStyle w:val="Hyperlink"/>
          </w:rPr>
          <w:t>http://childrensembassy.org.mk/periodicen-izveshtaj-za-zastapenosta-na-detskite-prava-vo-rabotata-na-sobranieto-na-rs-makedonija.nspx</w:t>
        </w:r>
      </w:hyperlink>
    </w:p>
    <w:p w:rsidR="007B19DF" w:rsidRPr="00042983" w:rsidRDefault="007B19DF" w:rsidP="00042983">
      <w:pPr>
        <w:spacing w:after="0" w:line="276" w:lineRule="auto"/>
        <w:jc w:val="both"/>
        <w:rPr>
          <w:rFonts w:ascii="Arial" w:eastAsia="Calibri" w:hAnsi="Arial" w:cs="Arial"/>
          <w:b/>
          <w:bCs/>
          <w:sz w:val="24"/>
          <w:szCs w:val="24"/>
        </w:rPr>
      </w:pPr>
    </w:p>
    <w:p w:rsidR="00042983" w:rsidRPr="00042983" w:rsidRDefault="00042983" w:rsidP="00042983">
      <w:pPr>
        <w:autoSpaceDE w:val="0"/>
        <w:autoSpaceDN w:val="0"/>
        <w:adjustRightInd w:val="0"/>
        <w:spacing w:after="0" w:line="276" w:lineRule="auto"/>
        <w:jc w:val="both"/>
        <w:rPr>
          <w:rFonts w:ascii="Arial" w:eastAsia="Calibri" w:hAnsi="Arial" w:cs="Arial"/>
          <w:color w:val="000000"/>
          <w:sz w:val="24"/>
          <w:szCs w:val="24"/>
        </w:rPr>
      </w:pPr>
      <w:r w:rsidRPr="00042983">
        <w:rPr>
          <w:rFonts w:ascii="Arial" w:eastAsia="Calibri" w:hAnsi="Arial" w:cs="Arial"/>
          <w:color w:val="000000"/>
          <w:sz w:val="24"/>
          <w:szCs w:val="24"/>
        </w:rPr>
        <w:t xml:space="preserve">Извор на податоци за оваа квалитативна анализа се достапните материјали на официјалната интернет страна на Собранието на РС Македонија. Беше </w:t>
      </w:r>
      <w:r w:rsidRPr="00042983">
        <w:rPr>
          <w:rFonts w:ascii="Arial" w:eastAsia="Calibri" w:hAnsi="Arial" w:cs="Arial"/>
          <w:color w:val="000000"/>
          <w:sz w:val="24"/>
          <w:szCs w:val="24"/>
        </w:rPr>
        <w:lastRenderedPageBreak/>
        <w:t>анализирана работата на Собранието (пленарните седници) како и на следните собраниски комисии:</w:t>
      </w:r>
    </w:p>
    <w:p w:rsidR="00042983" w:rsidRPr="00042983" w:rsidRDefault="00042983" w:rsidP="00042983">
      <w:pPr>
        <w:autoSpaceDE w:val="0"/>
        <w:autoSpaceDN w:val="0"/>
        <w:adjustRightInd w:val="0"/>
        <w:spacing w:after="0" w:line="276" w:lineRule="auto"/>
        <w:jc w:val="both"/>
        <w:rPr>
          <w:rFonts w:ascii="Arial" w:eastAsia="Calibri" w:hAnsi="Arial" w:cs="Arial"/>
          <w:color w:val="000000"/>
          <w:sz w:val="24"/>
          <w:szCs w:val="24"/>
        </w:rPr>
      </w:pPr>
    </w:p>
    <w:p w:rsidR="00042983" w:rsidRPr="00042983" w:rsidRDefault="00042983" w:rsidP="00042983">
      <w:pPr>
        <w:numPr>
          <w:ilvl w:val="0"/>
          <w:numId w:val="1"/>
        </w:numPr>
        <w:autoSpaceDE w:val="0"/>
        <w:autoSpaceDN w:val="0"/>
        <w:adjustRightInd w:val="0"/>
        <w:spacing w:after="0" w:line="276" w:lineRule="auto"/>
        <w:jc w:val="both"/>
        <w:rPr>
          <w:rFonts w:ascii="Arial" w:eastAsia="Calibri" w:hAnsi="Arial" w:cs="Arial"/>
          <w:color w:val="000000"/>
          <w:sz w:val="24"/>
          <w:szCs w:val="24"/>
        </w:rPr>
      </w:pPr>
      <w:r w:rsidRPr="00042983">
        <w:rPr>
          <w:rFonts w:ascii="Arial" w:eastAsia="Calibri" w:hAnsi="Arial" w:cs="Arial"/>
          <w:color w:val="000000"/>
          <w:sz w:val="24"/>
          <w:szCs w:val="24"/>
        </w:rPr>
        <w:t>Комисија за образование, наука и спорт</w:t>
      </w:r>
    </w:p>
    <w:p w:rsidR="00042983" w:rsidRPr="00042983" w:rsidRDefault="00042983" w:rsidP="00042983">
      <w:pPr>
        <w:numPr>
          <w:ilvl w:val="0"/>
          <w:numId w:val="1"/>
        </w:numPr>
        <w:autoSpaceDE w:val="0"/>
        <w:autoSpaceDN w:val="0"/>
        <w:adjustRightInd w:val="0"/>
        <w:spacing w:after="0" w:line="276" w:lineRule="auto"/>
        <w:jc w:val="both"/>
        <w:rPr>
          <w:rFonts w:ascii="Arial" w:eastAsia="Calibri" w:hAnsi="Arial" w:cs="Arial"/>
          <w:color w:val="000000"/>
          <w:sz w:val="24"/>
          <w:szCs w:val="24"/>
        </w:rPr>
      </w:pPr>
      <w:r w:rsidRPr="00042983">
        <w:rPr>
          <w:rFonts w:ascii="Arial" w:eastAsia="Calibri" w:hAnsi="Arial" w:cs="Arial"/>
          <w:color w:val="000000"/>
          <w:sz w:val="24"/>
          <w:szCs w:val="24"/>
        </w:rPr>
        <w:t>Комисија за здравство</w:t>
      </w:r>
    </w:p>
    <w:p w:rsidR="00042983" w:rsidRPr="00042983" w:rsidRDefault="00042983" w:rsidP="00042983">
      <w:pPr>
        <w:numPr>
          <w:ilvl w:val="0"/>
          <w:numId w:val="1"/>
        </w:numPr>
        <w:autoSpaceDE w:val="0"/>
        <w:autoSpaceDN w:val="0"/>
        <w:adjustRightInd w:val="0"/>
        <w:spacing w:after="0" w:line="276" w:lineRule="auto"/>
        <w:jc w:val="both"/>
        <w:rPr>
          <w:rFonts w:ascii="Arial" w:eastAsia="Calibri" w:hAnsi="Arial" w:cs="Arial"/>
          <w:color w:val="000000"/>
          <w:sz w:val="24"/>
          <w:szCs w:val="24"/>
        </w:rPr>
      </w:pPr>
      <w:r w:rsidRPr="00042983">
        <w:rPr>
          <w:rFonts w:ascii="Arial" w:eastAsia="Calibri" w:hAnsi="Arial" w:cs="Arial"/>
          <w:color w:val="000000"/>
          <w:sz w:val="24"/>
          <w:szCs w:val="24"/>
        </w:rPr>
        <w:t>Комисија за труд и социјална политика</w:t>
      </w:r>
    </w:p>
    <w:p w:rsidR="007D77A5" w:rsidRDefault="007D77A5" w:rsidP="007D77A5">
      <w:pPr>
        <w:keepNext/>
        <w:spacing w:after="0" w:line="276" w:lineRule="auto"/>
        <w:outlineLvl w:val="0"/>
        <w:rPr>
          <w:rFonts w:ascii="Arial" w:eastAsia="Calibri" w:hAnsi="Arial" w:cs="Arial"/>
          <w:color w:val="000000"/>
          <w:sz w:val="24"/>
          <w:szCs w:val="24"/>
        </w:rPr>
      </w:pPr>
      <w:bookmarkStart w:id="1" w:name="_Toc30379305"/>
    </w:p>
    <w:bookmarkEnd w:id="1"/>
    <w:p w:rsidR="00042983" w:rsidRPr="00042983" w:rsidRDefault="00042983" w:rsidP="00042983">
      <w:pPr>
        <w:spacing w:after="0" w:line="276" w:lineRule="auto"/>
        <w:jc w:val="both"/>
        <w:rPr>
          <w:rFonts w:ascii="Arial" w:eastAsia="Calibri" w:hAnsi="Arial" w:cs="Arial"/>
          <w:b/>
          <w:bCs/>
          <w:sz w:val="24"/>
          <w:szCs w:val="24"/>
        </w:rPr>
      </w:pPr>
      <w:r w:rsidRPr="00042983">
        <w:rPr>
          <w:rFonts w:ascii="Arial" w:eastAsia="Calibri" w:hAnsi="Arial" w:cs="Arial"/>
          <w:b/>
          <w:bCs/>
          <w:sz w:val="24"/>
          <w:szCs w:val="24"/>
        </w:rPr>
        <w:t>Табела 1: Квантитативен преглед на застапеност на детски права во Собраниски Комисии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1148"/>
        <w:gridCol w:w="1302"/>
        <w:gridCol w:w="1274"/>
        <w:gridCol w:w="1414"/>
        <w:gridCol w:w="1529"/>
      </w:tblGrid>
      <w:tr w:rsidR="00042983" w:rsidRPr="00042983" w:rsidTr="00D15E43">
        <w:tc>
          <w:tcPr>
            <w:tcW w:w="2917" w:type="dxa"/>
            <w:shd w:val="clear" w:color="auto" w:fill="auto"/>
          </w:tcPr>
          <w:p w:rsidR="00042983" w:rsidRPr="00042983" w:rsidRDefault="00042983" w:rsidP="00042983">
            <w:pPr>
              <w:spacing w:after="0" w:line="276" w:lineRule="auto"/>
              <w:jc w:val="both"/>
              <w:rPr>
                <w:rFonts w:ascii="Arial" w:eastAsia="Calibri" w:hAnsi="Arial" w:cs="Arial"/>
                <w:b/>
                <w:bCs/>
                <w:sz w:val="24"/>
                <w:szCs w:val="24"/>
              </w:rPr>
            </w:pPr>
            <w:r w:rsidRPr="00042983">
              <w:rPr>
                <w:rFonts w:ascii="Arial" w:eastAsia="Calibri" w:hAnsi="Arial" w:cs="Arial"/>
                <w:b/>
                <w:bCs/>
                <w:sz w:val="24"/>
                <w:szCs w:val="24"/>
              </w:rPr>
              <w:t>Работно тело</w:t>
            </w:r>
          </w:p>
        </w:tc>
        <w:tc>
          <w:tcPr>
            <w:tcW w:w="1133" w:type="dxa"/>
            <w:shd w:val="clear" w:color="auto" w:fill="auto"/>
          </w:tcPr>
          <w:p w:rsidR="00042983" w:rsidRPr="00042983" w:rsidRDefault="00042983" w:rsidP="00042983">
            <w:pPr>
              <w:spacing w:after="0" w:line="276" w:lineRule="auto"/>
              <w:rPr>
                <w:rFonts w:ascii="Arial" w:eastAsia="Calibri" w:hAnsi="Arial" w:cs="Arial"/>
                <w:sz w:val="24"/>
                <w:szCs w:val="24"/>
              </w:rPr>
            </w:pPr>
            <w:r w:rsidRPr="00042983">
              <w:rPr>
                <w:rFonts w:ascii="Arial" w:eastAsia="Calibri" w:hAnsi="Arial" w:cs="Arial"/>
                <w:sz w:val="24"/>
                <w:szCs w:val="24"/>
              </w:rPr>
              <w:t>Вкупен број на седници</w:t>
            </w:r>
          </w:p>
        </w:tc>
        <w:tc>
          <w:tcPr>
            <w:tcW w:w="1303" w:type="dxa"/>
            <w:shd w:val="clear" w:color="auto" w:fill="auto"/>
          </w:tcPr>
          <w:p w:rsidR="00042983" w:rsidRPr="00042983" w:rsidRDefault="00042983" w:rsidP="00042983">
            <w:pPr>
              <w:spacing w:after="0" w:line="276" w:lineRule="auto"/>
              <w:rPr>
                <w:rFonts w:ascii="Arial" w:eastAsia="Calibri" w:hAnsi="Arial" w:cs="Arial"/>
                <w:sz w:val="24"/>
                <w:szCs w:val="24"/>
              </w:rPr>
            </w:pPr>
            <w:r w:rsidRPr="00042983">
              <w:rPr>
                <w:rFonts w:ascii="Arial" w:eastAsia="Calibri" w:hAnsi="Arial" w:cs="Arial"/>
                <w:sz w:val="24"/>
                <w:szCs w:val="24"/>
              </w:rPr>
              <w:t>Број на седници за детски права</w:t>
            </w:r>
          </w:p>
        </w:tc>
        <w:tc>
          <w:tcPr>
            <w:tcW w:w="1276" w:type="dxa"/>
            <w:shd w:val="clear" w:color="auto" w:fill="auto"/>
          </w:tcPr>
          <w:p w:rsidR="00042983" w:rsidRPr="00042983" w:rsidRDefault="00042983" w:rsidP="00042983">
            <w:pPr>
              <w:spacing w:after="0" w:line="276" w:lineRule="auto"/>
              <w:rPr>
                <w:rFonts w:ascii="Arial" w:eastAsia="Calibri" w:hAnsi="Arial" w:cs="Arial"/>
                <w:sz w:val="24"/>
                <w:szCs w:val="24"/>
              </w:rPr>
            </w:pPr>
            <w:r w:rsidRPr="00042983">
              <w:rPr>
                <w:rFonts w:ascii="Arial" w:eastAsia="Calibri" w:hAnsi="Arial" w:cs="Arial"/>
                <w:sz w:val="24"/>
                <w:szCs w:val="24"/>
              </w:rPr>
              <w:t>Вкупен број на закони</w:t>
            </w:r>
          </w:p>
        </w:tc>
        <w:tc>
          <w:tcPr>
            <w:tcW w:w="1417" w:type="dxa"/>
            <w:shd w:val="clear" w:color="auto" w:fill="auto"/>
          </w:tcPr>
          <w:p w:rsidR="00042983" w:rsidRPr="00042983" w:rsidRDefault="00042983" w:rsidP="00042983">
            <w:pPr>
              <w:spacing w:after="0" w:line="276" w:lineRule="auto"/>
              <w:rPr>
                <w:rFonts w:ascii="Arial" w:eastAsia="Calibri" w:hAnsi="Arial" w:cs="Arial"/>
                <w:sz w:val="24"/>
                <w:szCs w:val="24"/>
              </w:rPr>
            </w:pPr>
            <w:r w:rsidRPr="00042983">
              <w:rPr>
                <w:rFonts w:ascii="Arial" w:eastAsia="Calibri" w:hAnsi="Arial" w:cs="Arial"/>
                <w:sz w:val="24"/>
                <w:szCs w:val="24"/>
              </w:rPr>
              <w:t>Број на закони за детски права</w:t>
            </w:r>
          </w:p>
        </w:tc>
        <w:tc>
          <w:tcPr>
            <w:tcW w:w="1530" w:type="dxa"/>
            <w:shd w:val="clear" w:color="auto" w:fill="auto"/>
          </w:tcPr>
          <w:p w:rsidR="00042983" w:rsidRPr="00042983" w:rsidRDefault="00042983" w:rsidP="00042983">
            <w:pPr>
              <w:spacing w:after="0" w:line="276" w:lineRule="auto"/>
              <w:rPr>
                <w:rFonts w:ascii="Arial" w:eastAsia="Calibri" w:hAnsi="Arial" w:cs="Arial"/>
                <w:sz w:val="24"/>
                <w:szCs w:val="24"/>
              </w:rPr>
            </w:pPr>
            <w:r w:rsidRPr="00042983">
              <w:rPr>
                <w:rFonts w:ascii="Arial" w:eastAsia="Calibri" w:hAnsi="Arial" w:cs="Arial"/>
                <w:sz w:val="24"/>
                <w:szCs w:val="24"/>
              </w:rPr>
              <w:t>Членови од КПД кои се третирани</w:t>
            </w:r>
          </w:p>
        </w:tc>
      </w:tr>
      <w:tr w:rsidR="00042983" w:rsidRPr="00042983" w:rsidTr="00D15E43">
        <w:tc>
          <w:tcPr>
            <w:tcW w:w="2917"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Комисија за образование, наука и спорт</w:t>
            </w:r>
          </w:p>
        </w:tc>
        <w:tc>
          <w:tcPr>
            <w:tcW w:w="1133"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8</w:t>
            </w:r>
          </w:p>
        </w:tc>
        <w:tc>
          <w:tcPr>
            <w:tcW w:w="1303"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5</w:t>
            </w:r>
          </w:p>
        </w:tc>
        <w:tc>
          <w:tcPr>
            <w:tcW w:w="1276"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9</w:t>
            </w:r>
          </w:p>
        </w:tc>
        <w:tc>
          <w:tcPr>
            <w:tcW w:w="1417"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4</w:t>
            </w:r>
          </w:p>
        </w:tc>
        <w:tc>
          <w:tcPr>
            <w:tcW w:w="1530" w:type="dxa"/>
            <w:shd w:val="clear" w:color="auto" w:fill="auto"/>
          </w:tcPr>
          <w:p w:rsidR="00042983" w:rsidRPr="00042983" w:rsidRDefault="00042983" w:rsidP="00042983">
            <w:pPr>
              <w:spacing w:after="0" w:line="276" w:lineRule="auto"/>
              <w:rPr>
                <w:rFonts w:ascii="Arial" w:eastAsia="Calibri" w:hAnsi="Arial" w:cs="Arial"/>
                <w:sz w:val="24"/>
                <w:szCs w:val="24"/>
              </w:rPr>
            </w:pPr>
            <w:r w:rsidRPr="00042983">
              <w:rPr>
                <w:rFonts w:ascii="Arial" w:eastAsia="Calibri" w:hAnsi="Arial" w:cs="Arial"/>
                <w:sz w:val="24"/>
                <w:szCs w:val="24"/>
              </w:rPr>
              <w:t>2, 12, 15, 19, 23, 28, 29</w:t>
            </w:r>
          </w:p>
        </w:tc>
      </w:tr>
      <w:tr w:rsidR="00042983" w:rsidRPr="00042983" w:rsidTr="00D15E43">
        <w:tc>
          <w:tcPr>
            <w:tcW w:w="2917"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Комисија за здравство</w:t>
            </w:r>
          </w:p>
        </w:tc>
        <w:tc>
          <w:tcPr>
            <w:tcW w:w="1133"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8</w:t>
            </w:r>
          </w:p>
        </w:tc>
        <w:tc>
          <w:tcPr>
            <w:tcW w:w="1303"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3</w:t>
            </w:r>
          </w:p>
        </w:tc>
        <w:tc>
          <w:tcPr>
            <w:tcW w:w="1276"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23</w:t>
            </w:r>
          </w:p>
        </w:tc>
        <w:tc>
          <w:tcPr>
            <w:tcW w:w="1417"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3</w:t>
            </w:r>
          </w:p>
        </w:tc>
        <w:tc>
          <w:tcPr>
            <w:tcW w:w="1530" w:type="dxa"/>
            <w:shd w:val="clear" w:color="auto" w:fill="auto"/>
          </w:tcPr>
          <w:p w:rsidR="00042983" w:rsidRPr="00042983" w:rsidRDefault="00042983" w:rsidP="00042983">
            <w:pPr>
              <w:spacing w:after="0" w:line="276" w:lineRule="auto"/>
              <w:rPr>
                <w:rFonts w:ascii="Arial" w:eastAsia="Calibri" w:hAnsi="Arial" w:cs="Arial"/>
                <w:sz w:val="24"/>
                <w:szCs w:val="24"/>
              </w:rPr>
            </w:pPr>
            <w:r w:rsidRPr="00042983">
              <w:rPr>
                <w:rFonts w:ascii="Arial" w:eastAsia="Calibri" w:hAnsi="Arial" w:cs="Arial"/>
                <w:sz w:val="24"/>
                <w:szCs w:val="24"/>
              </w:rPr>
              <w:t>3, 23, 24</w:t>
            </w:r>
          </w:p>
        </w:tc>
      </w:tr>
      <w:tr w:rsidR="00042983" w:rsidRPr="00042983" w:rsidTr="00D15E43">
        <w:tc>
          <w:tcPr>
            <w:tcW w:w="2917"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Комисија за труд и социјална политика</w:t>
            </w:r>
          </w:p>
        </w:tc>
        <w:tc>
          <w:tcPr>
            <w:tcW w:w="1133"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10</w:t>
            </w:r>
          </w:p>
        </w:tc>
        <w:tc>
          <w:tcPr>
            <w:tcW w:w="1303"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3</w:t>
            </w:r>
          </w:p>
        </w:tc>
        <w:tc>
          <w:tcPr>
            <w:tcW w:w="1276"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8</w:t>
            </w:r>
          </w:p>
        </w:tc>
        <w:tc>
          <w:tcPr>
            <w:tcW w:w="1417"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5</w:t>
            </w:r>
          </w:p>
        </w:tc>
        <w:tc>
          <w:tcPr>
            <w:tcW w:w="1530" w:type="dxa"/>
            <w:shd w:val="clear" w:color="auto" w:fill="auto"/>
          </w:tcPr>
          <w:p w:rsidR="00042983" w:rsidRPr="00042983" w:rsidRDefault="00042983" w:rsidP="00042983">
            <w:pPr>
              <w:spacing w:after="0" w:line="276" w:lineRule="auto"/>
              <w:rPr>
                <w:rFonts w:ascii="Arial" w:eastAsia="Calibri" w:hAnsi="Arial" w:cs="Arial"/>
                <w:sz w:val="24"/>
                <w:szCs w:val="24"/>
              </w:rPr>
            </w:pPr>
            <w:r w:rsidRPr="00042983">
              <w:rPr>
                <w:rFonts w:ascii="Arial" w:eastAsia="Calibri" w:hAnsi="Arial" w:cs="Arial"/>
                <w:sz w:val="24"/>
                <w:szCs w:val="24"/>
              </w:rPr>
              <w:t xml:space="preserve">3, 18, 23, 27, </w:t>
            </w:r>
          </w:p>
        </w:tc>
      </w:tr>
      <w:tr w:rsidR="00042983" w:rsidRPr="00042983" w:rsidTr="00D15E43">
        <w:tc>
          <w:tcPr>
            <w:tcW w:w="2917" w:type="dxa"/>
            <w:shd w:val="clear" w:color="auto" w:fill="auto"/>
          </w:tcPr>
          <w:p w:rsidR="00042983" w:rsidRPr="00042983" w:rsidRDefault="00042983" w:rsidP="00042983">
            <w:pPr>
              <w:spacing w:after="0" w:line="276" w:lineRule="auto"/>
              <w:jc w:val="right"/>
              <w:rPr>
                <w:rFonts w:ascii="Arial" w:eastAsia="Calibri" w:hAnsi="Arial" w:cs="Arial"/>
                <w:b/>
                <w:bCs/>
                <w:sz w:val="24"/>
                <w:szCs w:val="24"/>
              </w:rPr>
            </w:pPr>
            <w:r w:rsidRPr="00042983">
              <w:rPr>
                <w:rFonts w:ascii="Arial" w:eastAsia="Calibri" w:hAnsi="Arial" w:cs="Arial"/>
                <w:b/>
                <w:bCs/>
                <w:sz w:val="24"/>
                <w:szCs w:val="24"/>
              </w:rPr>
              <w:t>Вкупно</w:t>
            </w:r>
          </w:p>
        </w:tc>
        <w:tc>
          <w:tcPr>
            <w:tcW w:w="1133" w:type="dxa"/>
            <w:shd w:val="clear" w:color="auto" w:fill="auto"/>
          </w:tcPr>
          <w:p w:rsidR="00042983" w:rsidRPr="00042983" w:rsidRDefault="00042983" w:rsidP="00042983">
            <w:pPr>
              <w:spacing w:after="0" w:line="276" w:lineRule="auto"/>
              <w:jc w:val="both"/>
              <w:rPr>
                <w:rFonts w:ascii="Arial" w:eastAsia="Calibri" w:hAnsi="Arial" w:cs="Arial"/>
                <w:b/>
                <w:bCs/>
                <w:sz w:val="24"/>
                <w:szCs w:val="24"/>
              </w:rPr>
            </w:pPr>
            <w:r w:rsidRPr="00042983">
              <w:rPr>
                <w:rFonts w:ascii="Arial" w:eastAsia="Calibri" w:hAnsi="Arial" w:cs="Arial"/>
                <w:b/>
                <w:bCs/>
                <w:sz w:val="24"/>
                <w:szCs w:val="24"/>
              </w:rPr>
              <w:t>26</w:t>
            </w:r>
          </w:p>
        </w:tc>
        <w:tc>
          <w:tcPr>
            <w:tcW w:w="1303" w:type="dxa"/>
            <w:shd w:val="clear" w:color="auto" w:fill="auto"/>
          </w:tcPr>
          <w:p w:rsidR="00042983" w:rsidRPr="00042983" w:rsidRDefault="00042983" w:rsidP="00042983">
            <w:pPr>
              <w:spacing w:after="0" w:line="276" w:lineRule="auto"/>
              <w:jc w:val="both"/>
              <w:rPr>
                <w:rFonts w:ascii="Arial" w:eastAsia="Calibri" w:hAnsi="Arial" w:cs="Arial"/>
                <w:b/>
                <w:bCs/>
                <w:sz w:val="24"/>
                <w:szCs w:val="24"/>
              </w:rPr>
            </w:pPr>
            <w:r w:rsidRPr="00042983">
              <w:rPr>
                <w:rFonts w:ascii="Arial" w:eastAsia="Calibri" w:hAnsi="Arial" w:cs="Arial"/>
                <w:b/>
                <w:bCs/>
                <w:sz w:val="24"/>
                <w:szCs w:val="24"/>
              </w:rPr>
              <w:t>11</w:t>
            </w:r>
          </w:p>
        </w:tc>
        <w:tc>
          <w:tcPr>
            <w:tcW w:w="1276" w:type="dxa"/>
            <w:shd w:val="clear" w:color="auto" w:fill="auto"/>
          </w:tcPr>
          <w:p w:rsidR="00042983" w:rsidRPr="00042983" w:rsidRDefault="00042983" w:rsidP="00042983">
            <w:pPr>
              <w:spacing w:after="0" w:line="276" w:lineRule="auto"/>
              <w:jc w:val="both"/>
              <w:rPr>
                <w:rFonts w:ascii="Arial" w:eastAsia="Calibri" w:hAnsi="Arial" w:cs="Arial"/>
                <w:b/>
                <w:bCs/>
                <w:sz w:val="24"/>
                <w:szCs w:val="24"/>
              </w:rPr>
            </w:pPr>
            <w:r w:rsidRPr="00042983">
              <w:rPr>
                <w:rFonts w:ascii="Arial" w:eastAsia="Calibri" w:hAnsi="Arial" w:cs="Arial"/>
                <w:b/>
                <w:bCs/>
                <w:sz w:val="24"/>
                <w:szCs w:val="24"/>
              </w:rPr>
              <w:t>40</w:t>
            </w:r>
          </w:p>
        </w:tc>
        <w:tc>
          <w:tcPr>
            <w:tcW w:w="1417" w:type="dxa"/>
            <w:shd w:val="clear" w:color="auto" w:fill="auto"/>
          </w:tcPr>
          <w:p w:rsidR="00042983" w:rsidRPr="00042983" w:rsidRDefault="00042983" w:rsidP="00042983">
            <w:pPr>
              <w:spacing w:after="0" w:line="276" w:lineRule="auto"/>
              <w:jc w:val="both"/>
              <w:rPr>
                <w:rFonts w:ascii="Arial" w:eastAsia="Calibri" w:hAnsi="Arial" w:cs="Arial"/>
                <w:b/>
                <w:bCs/>
                <w:sz w:val="24"/>
                <w:szCs w:val="24"/>
              </w:rPr>
            </w:pPr>
            <w:r w:rsidRPr="00042983">
              <w:rPr>
                <w:rFonts w:ascii="Arial" w:eastAsia="Calibri" w:hAnsi="Arial" w:cs="Arial"/>
                <w:b/>
                <w:bCs/>
                <w:sz w:val="24"/>
                <w:szCs w:val="24"/>
              </w:rPr>
              <w:t>12</w:t>
            </w:r>
          </w:p>
        </w:tc>
        <w:tc>
          <w:tcPr>
            <w:tcW w:w="1530" w:type="dxa"/>
            <w:shd w:val="clear" w:color="auto" w:fill="auto"/>
          </w:tcPr>
          <w:p w:rsidR="00042983" w:rsidRPr="00042983" w:rsidRDefault="00042983" w:rsidP="00042983">
            <w:pPr>
              <w:spacing w:after="0" w:line="276" w:lineRule="auto"/>
              <w:jc w:val="both"/>
              <w:rPr>
                <w:rFonts w:ascii="Arial" w:eastAsia="Calibri" w:hAnsi="Arial" w:cs="Arial"/>
                <w:b/>
                <w:bCs/>
                <w:sz w:val="24"/>
                <w:szCs w:val="24"/>
              </w:rPr>
            </w:pPr>
            <w:r w:rsidRPr="00042983">
              <w:rPr>
                <w:rFonts w:ascii="Arial" w:eastAsia="Calibri" w:hAnsi="Arial" w:cs="Arial"/>
                <w:b/>
                <w:bCs/>
                <w:sz w:val="24"/>
                <w:szCs w:val="24"/>
              </w:rPr>
              <w:t xml:space="preserve">11 </w:t>
            </w:r>
          </w:p>
        </w:tc>
      </w:tr>
    </w:tbl>
    <w:p w:rsidR="00042983" w:rsidRPr="00042983" w:rsidRDefault="00042983" w:rsidP="00042983">
      <w:pPr>
        <w:spacing w:after="0" w:line="276" w:lineRule="auto"/>
        <w:jc w:val="both"/>
        <w:rPr>
          <w:rFonts w:ascii="Arial" w:eastAsia="Calibri" w:hAnsi="Arial" w:cs="Arial"/>
          <w:sz w:val="24"/>
          <w:szCs w:val="24"/>
        </w:rPr>
      </w:pPr>
    </w:p>
    <w:p w:rsidR="00042983" w:rsidRPr="00042983" w:rsidRDefault="00042983" w:rsidP="00042983">
      <w:pPr>
        <w:spacing w:after="0" w:line="276" w:lineRule="auto"/>
        <w:jc w:val="both"/>
        <w:rPr>
          <w:rFonts w:ascii="Arial" w:eastAsia="Calibri" w:hAnsi="Arial" w:cs="Arial"/>
          <w:b/>
          <w:bCs/>
          <w:sz w:val="24"/>
          <w:szCs w:val="24"/>
        </w:rPr>
      </w:pPr>
    </w:p>
    <w:p w:rsidR="00042983" w:rsidRPr="00042983" w:rsidRDefault="00042983" w:rsidP="00042983">
      <w:pPr>
        <w:spacing w:after="0" w:line="276" w:lineRule="auto"/>
        <w:jc w:val="both"/>
        <w:rPr>
          <w:rFonts w:ascii="Arial" w:eastAsia="Calibri" w:hAnsi="Arial" w:cs="Arial"/>
          <w:b/>
          <w:bCs/>
          <w:sz w:val="24"/>
          <w:szCs w:val="24"/>
        </w:rPr>
      </w:pPr>
      <w:r w:rsidRPr="00042983">
        <w:rPr>
          <w:rFonts w:ascii="Arial" w:eastAsia="Calibri" w:hAnsi="Arial" w:cs="Arial"/>
          <w:b/>
          <w:bCs/>
          <w:sz w:val="24"/>
          <w:szCs w:val="24"/>
        </w:rPr>
        <w:t xml:space="preserve">Табела 2: Квантитативен преглед на застапеност на детски права во Пленарни седници на Собранието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1593"/>
        <w:gridCol w:w="1559"/>
        <w:gridCol w:w="1559"/>
        <w:gridCol w:w="1985"/>
      </w:tblGrid>
      <w:tr w:rsidR="00042983" w:rsidRPr="00042983" w:rsidTr="00D15E43">
        <w:tc>
          <w:tcPr>
            <w:tcW w:w="2910" w:type="dxa"/>
            <w:shd w:val="clear" w:color="auto" w:fill="auto"/>
          </w:tcPr>
          <w:p w:rsidR="00042983" w:rsidRPr="00042983" w:rsidRDefault="00042983" w:rsidP="00042983">
            <w:pPr>
              <w:spacing w:after="0" w:line="276" w:lineRule="auto"/>
              <w:jc w:val="both"/>
              <w:rPr>
                <w:rFonts w:ascii="Arial" w:eastAsia="Calibri" w:hAnsi="Arial" w:cs="Arial"/>
                <w:b/>
                <w:bCs/>
                <w:sz w:val="24"/>
                <w:szCs w:val="24"/>
              </w:rPr>
            </w:pPr>
            <w:r w:rsidRPr="00042983">
              <w:rPr>
                <w:rFonts w:ascii="Arial" w:eastAsia="Calibri" w:hAnsi="Arial" w:cs="Arial"/>
                <w:b/>
                <w:bCs/>
                <w:sz w:val="24"/>
                <w:szCs w:val="24"/>
              </w:rPr>
              <w:t>Собрание на Република Северна Македонија</w:t>
            </w:r>
          </w:p>
        </w:tc>
        <w:tc>
          <w:tcPr>
            <w:tcW w:w="1593" w:type="dxa"/>
            <w:shd w:val="clear" w:color="auto" w:fill="auto"/>
          </w:tcPr>
          <w:p w:rsidR="00042983" w:rsidRPr="00042983" w:rsidRDefault="00042983" w:rsidP="00042983">
            <w:pPr>
              <w:spacing w:after="0" w:line="276" w:lineRule="auto"/>
              <w:rPr>
                <w:rFonts w:ascii="Arial" w:eastAsia="Calibri" w:hAnsi="Arial" w:cs="Arial"/>
                <w:sz w:val="24"/>
                <w:szCs w:val="24"/>
              </w:rPr>
            </w:pPr>
            <w:r w:rsidRPr="00042983">
              <w:rPr>
                <w:rFonts w:ascii="Arial" w:eastAsia="Calibri" w:hAnsi="Arial" w:cs="Arial"/>
                <w:sz w:val="24"/>
                <w:szCs w:val="24"/>
              </w:rPr>
              <w:t>Вкупен број на седници</w:t>
            </w:r>
          </w:p>
        </w:tc>
        <w:tc>
          <w:tcPr>
            <w:tcW w:w="1559" w:type="dxa"/>
            <w:shd w:val="clear" w:color="auto" w:fill="auto"/>
          </w:tcPr>
          <w:p w:rsidR="00042983" w:rsidRPr="00042983" w:rsidRDefault="00042983" w:rsidP="00042983">
            <w:pPr>
              <w:spacing w:after="0" w:line="276" w:lineRule="auto"/>
              <w:rPr>
                <w:rFonts w:ascii="Arial" w:eastAsia="Calibri" w:hAnsi="Arial" w:cs="Arial"/>
                <w:sz w:val="24"/>
                <w:szCs w:val="24"/>
              </w:rPr>
            </w:pPr>
            <w:r w:rsidRPr="00042983">
              <w:rPr>
                <w:rFonts w:ascii="Arial" w:eastAsia="Calibri" w:hAnsi="Arial" w:cs="Arial"/>
                <w:sz w:val="24"/>
                <w:szCs w:val="24"/>
              </w:rPr>
              <w:t>Број на седници со теми за детски права</w:t>
            </w:r>
          </w:p>
        </w:tc>
        <w:tc>
          <w:tcPr>
            <w:tcW w:w="1559" w:type="dxa"/>
            <w:shd w:val="clear" w:color="auto" w:fill="auto"/>
          </w:tcPr>
          <w:p w:rsidR="00042983" w:rsidRPr="00042983" w:rsidRDefault="00042983" w:rsidP="00042983">
            <w:pPr>
              <w:spacing w:after="0" w:line="276" w:lineRule="auto"/>
              <w:rPr>
                <w:rFonts w:ascii="Arial" w:eastAsia="Calibri" w:hAnsi="Arial" w:cs="Arial"/>
                <w:sz w:val="24"/>
                <w:szCs w:val="24"/>
              </w:rPr>
            </w:pPr>
            <w:r w:rsidRPr="00042983">
              <w:rPr>
                <w:rFonts w:ascii="Arial" w:eastAsia="Calibri" w:hAnsi="Arial" w:cs="Arial"/>
                <w:sz w:val="24"/>
                <w:szCs w:val="24"/>
              </w:rPr>
              <w:t>Број на точки / прашања за детски права</w:t>
            </w:r>
          </w:p>
        </w:tc>
        <w:tc>
          <w:tcPr>
            <w:tcW w:w="1985" w:type="dxa"/>
            <w:shd w:val="clear" w:color="auto" w:fill="auto"/>
          </w:tcPr>
          <w:p w:rsidR="00042983" w:rsidRPr="00042983" w:rsidRDefault="00042983" w:rsidP="00042983">
            <w:pPr>
              <w:spacing w:after="0" w:line="276" w:lineRule="auto"/>
              <w:rPr>
                <w:rFonts w:ascii="Arial" w:eastAsia="Calibri" w:hAnsi="Arial" w:cs="Arial"/>
                <w:sz w:val="24"/>
                <w:szCs w:val="24"/>
              </w:rPr>
            </w:pPr>
            <w:r w:rsidRPr="00042983">
              <w:rPr>
                <w:rFonts w:ascii="Arial" w:eastAsia="Calibri" w:hAnsi="Arial" w:cs="Arial"/>
                <w:sz w:val="24"/>
                <w:szCs w:val="24"/>
              </w:rPr>
              <w:t>Членови од КПД кои се третирани</w:t>
            </w:r>
          </w:p>
        </w:tc>
      </w:tr>
      <w:tr w:rsidR="00042983" w:rsidRPr="00042983" w:rsidTr="00D15E43">
        <w:tc>
          <w:tcPr>
            <w:tcW w:w="2910"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Пленарни седници</w:t>
            </w:r>
          </w:p>
        </w:tc>
        <w:tc>
          <w:tcPr>
            <w:tcW w:w="1593"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16</w:t>
            </w:r>
          </w:p>
        </w:tc>
        <w:tc>
          <w:tcPr>
            <w:tcW w:w="1559"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6</w:t>
            </w:r>
          </w:p>
        </w:tc>
        <w:tc>
          <w:tcPr>
            <w:tcW w:w="1559"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14</w:t>
            </w:r>
          </w:p>
        </w:tc>
        <w:tc>
          <w:tcPr>
            <w:tcW w:w="1985" w:type="dxa"/>
            <w:shd w:val="clear" w:color="auto" w:fill="auto"/>
          </w:tcPr>
          <w:p w:rsidR="00042983" w:rsidRPr="00042983" w:rsidRDefault="00042983" w:rsidP="00042983">
            <w:pPr>
              <w:spacing w:after="0" w:line="276" w:lineRule="auto"/>
              <w:rPr>
                <w:rFonts w:ascii="Arial" w:eastAsia="Calibri" w:hAnsi="Arial" w:cs="Arial"/>
                <w:sz w:val="24"/>
                <w:szCs w:val="24"/>
              </w:rPr>
            </w:pPr>
            <w:r w:rsidRPr="00042983">
              <w:rPr>
                <w:rFonts w:ascii="Arial" w:eastAsia="Calibri" w:hAnsi="Arial" w:cs="Arial"/>
                <w:sz w:val="24"/>
                <w:szCs w:val="24"/>
              </w:rPr>
              <w:t>3, 12, 15, 23, 24, 28, 29, 40,</w:t>
            </w:r>
          </w:p>
        </w:tc>
      </w:tr>
      <w:tr w:rsidR="00042983" w:rsidRPr="00042983" w:rsidTr="00D15E43">
        <w:tc>
          <w:tcPr>
            <w:tcW w:w="2910"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Пратенички прашања</w:t>
            </w:r>
          </w:p>
        </w:tc>
        <w:tc>
          <w:tcPr>
            <w:tcW w:w="1593"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4</w:t>
            </w:r>
          </w:p>
        </w:tc>
        <w:tc>
          <w:tcPr>
            <w:tcW w:w="1559"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4</w:t>
            </w:r>
          </w:p>
        </w:tc>
        <w:tc>
          <w:tcPr>
            <w:tcW w:w="1559" w:type="dxa"/>
            <w:shd w:val="clear" w:color="auto" w:fill="auto"/>
          </w:tcPr>
          <w:p w:rsidR="00042983" w:rsidRPr="00042983" w:rsidRDefault="00042983" w:rsidP="00042983">
            <w:pPr>
              <w:spacing w:after="0" w:line="276" w:lineRule="auto"/>
              <w:jc w:val="both"/>
              <w:rPr>
                <w:rFonts w:ascii="Arial" w:eastAsia="Calibri" w:hAnsi="Arial" w:cs="Arial"/>
                <w:sz w:val="24"/>
                <w:szCs w:val="24"/>
              </w:rPr>
            </w:pPr>
            <w:r w:rsidRPr="00042983">
              <w:rPr>
                <w:rFonts w:ascii="Arial" w:eastAsia="Calibri" w:hAnsi="Arial" w:cs="Arial"/>
                <w:sz w:val="24"/>
                <w:szCs w:val="24"/>
              </w:rPr>
              <w:t>11</w:t>
            </w:r>
          </w:p>
        </w:tc>
        <w:tc>
          <w:tcPr>
            <w:tcW w:w="1985" w:type="dxa"/>
            <w:shd w:val="clear" w:color="auto" w:fill="auto"/>
          </w:tcPr>
          <w:p w:rsidR="00042983" w:rsidRPr="00042983" w:rsidRDefault="00042983" w:rsidP="00042983">
            <w:pPr>
              <w:spacing w:after="0" w:line="276" w:lineRule="auto"/>
              <w:rPr>
                <w:rFonts w:ascii="Arial" w:eastAsia="Calibri" w:hAnsi="Arial" w:cs="Arial"/>
                <w:sz w:val="24"/>
                <w:szCs w:val="24"/>
              </w:rPr>
            </w:pPr>
            <w:r w:rsidRPr="00042983">
              <w:rPr>
                <w:rFonts w:ascii="Arial" w:eastAsia="Calibri" w:hAnsi="Arial" w:cs="Arial"/>
                <w:sz w:val="24"/>
                <w:szCs w:val="24"/>
              </w:rPr>
              <w:t>24, 28, 29, 36,</w:t>
            </w:r>
          </w:p>
        </w:tc>
      </w:tr>
      <w:tr w:rsidR="00042983" w:rsidRPr="00042983" w:rsidTr="00D15E43">
        <w:tc>
          <w:tcPr>
            <w:tcW w:w="2910" w:type="dxa"/>
            <w:shd w:val="clear" w:color="auto" w:fill="auto"/>
          </w:tcPr>
          <w:p w:rsidR="00042983" w:rsidRPr="00042983" w:rsidRDefault="00042983" w:rsidP="00042983">
            <w:pPr>
              <w:spacing w:after="0" w:line="276" w:lineRule="auto"/>
              <w:jc w:val="right"/>
              <w:rPr>
                <w:rFonts w:ascii="Arial" w:eastAsia="Calibri" w:hAnsi="Arial" w:cs="Arial"/>
                <w:b/>
                <w:bCs/>
                <w:sz w:val="24"/>
                <w:szCs w:val="24"/>
              </w:rPr>
            </w:pPr>
            <w:r w:rsidRPr="00042983">
              <w:rPr>
                <w:rFonts w:ascii="Arial" w:eastAsia="Calibri" w:hAnsi="Arial" w:cs="Arial"/>
                <w:b/>
                <w:bCs/>
                <w:sz w:val="24"/>
                <w:szCs w:val="24"/>
              </w:rPr>
              <w:t>Вкупно</w:t>
            </w:r>
          </w:p>
        </w:tc>
        <w:tc>
          <w:tcPr>
            <w:tcW w:w="1593" w:type="dxa"/>
            <w:shd w:val="clear" w:color="auto" w:fill="auto"/>
          </w:tcPr>
          <w:p w:rsidR="00042983" w:rsidRPr="00042983" w:rsidRDefault="00042983" w:rsidP="00042983">
            <w:pPr>
              <w:spacing w:after="0" w:line="276" w:lineRule="auto"/>
              <w:jc w:val="both"/>
              <w:rPr>
                <w:rFonts w:ascii="Arial" w:eastAsia="Calibri" w:hAnsi="Arial" w:cs="Arial"/>
                <w:b/>
                <w:bCs/>
                <w:sz w:val="24"/>
                <w:szCs w:val="24"/>
              </w:rPr>
            </w:pPr>
            <w:r w:rsidRPr="00042983">
              <w:rPr>
                <w:rFonts w:ascii="Arial" w:eastAsia="Calibri" w:hAnsi="Arial" w:cs="Arial"/>
                <w:b/>
                <w:bCs/>
                <w:sz w:val="24"/>
                <w:szCs w:val="24"/>
              </w:rPr>
              <w:t>20</w:t>
            </w:r>
          </w:p>
        </w:tc>
        <w:tc>
          <w:tcPr>
            <w:tcW w:w="1559" w:type="dxa"/>
            <w:shd w:val="clear" w:color="auto" w:fill="auto"/>
          </w:tcPr>
          <w:p w:rsidR="00042983" w:rsidRPr="00042983" w:rsidRDefault="00042983" w:rsidP="00042983">
            <w:pPr>
              <w:spacing w:after="0" w:line="276" w:lineRule="auto"/>
              <w:jc w:val="both"/>
              <w:rPr>
                <w:rFonts w:ascii="Arial" w:eastAsia="Calibri" w:hAnsi="Arial" w:cs="Arial"/>
                <w:b/>
                <w:bCs/>
                <w:sz w:val="24"/>
                <w:szCs w:val="24"/>
              </w:rPr>
            </w:pPr>
            <w:r w:rsidRPr="00042983">
              <w:rPr>
                <w:rFonts w:ascii="Arial" w:eastAsia="Calibri" w:hAnsi="Arial" w:cs="Arial"/>
                <w:b/>
                <w:bCs/>
                <w:sz w:val="24"/>
                <w:szCs w:val="24"/>
              </w:rPr>
              <w:t>10</w:t>
            </w:r>
          </w:p>
        </w:tc>
        <w:tc>
          <w:tcPr>
            <w:tcW w:w="1559" w:type="dxa"/>
            <w:shd w:val="clear" w:color="auto" w:fill="auto"/>
          </w:tcPr>
          <w:p w:rsidR="00042983" w:rsidRPr="00042983" w:rsidRDefault="00042983" w:rsidP="00042983">
            <w:pPr>
              <w:spacing w:after="0" w:line="276" w:lineRule="auto"/>
              <w:jc w:val="both"/>
              <w:rPr>
                <w:rFonts w:ascii="Arial" w:eastAsia="Calibri" w:hAnsi="Arial" w:cs="Arial"/>
                <w:b/>
                <w:bCs/>
                <w:sz w:val="24"/>
                <w:szCs w:val="24"/>
              </w:rPr>
            </w:pPr>
            <w:r w:rsidRPr="00042983">
              <w:rPr>
                <w:rFonts w:ascii="Arial" w:eastAsia="Calibri" w:hAnsi="Arial" w:cs="Arial"/>
                <w:b/>
                <w:bCs/>
                <w:sz w:val="24"/>
                <w:szCs w:val="24"/>
              </w:rPr>
              <w:t>25</w:t>
            </w:r>
          </w:p>
        </w:tc>
        <w:tc>
          <w:tcPr>
            <w:tcW w:w="1985" w:type="dxa"/>
            <w:shd w:val="clear" w:color="auto" w:fill="auto"/>
          </w:tcPr>
          <w:p w:rsidR="00042983" w:rsidRPr="00042983" w:rsidRDefault="00042983" w:rsidP="00042983">
            <w:pPr>
              <w:spacing w:after="0" w:line="276" w:lineRule="auto"/>
              <w:jc w:val="both"/>
              <w:rPr>
                <w:rFonts w:ascii="Arial" w:eastAsia="Calibri" w:hAnsi="Arial" w:cs="Arial"/>
                <w:b/>
                <w:bCs/>
                <w:sz w:val="24"/>
                <w:szCs w:val="24"/>
              </w:rPr>
            </w:pPr>
            <w:r w:rsidRPr="00042983">
              <w:rPr>
                <w:rFonts w:ascii="Arial" w:eastAsia="Calibri" w:hAnsi="Arial" w:cs="Arial"/>
                <w:b/>
                <w:bCs/>
                <w:sz w:val="24"/>
                <w:szCs w:val="24"/>
              </w:rPr>
              <w:t xml:space="preserve"> 9</w:t>
            </w:r>
          </w:p>
        </w:tc>
      </w:tr>
    </w:tbl>
    <w:p w:rsidR="00042983" w:rsidRPr="00042983" w:rsidRDefault="00042983" w:rsidP="00042983">
      <w:pPr>
        <w:spacing w:after="0" w:line="276" w:lineRule="auto"/>
        <w:jc w:val="both"/>
        <w:rPr>
          <w:rFonts w:ascii="Arial" w:eastAsia="Calibri" w:hAnsi="Arial" w:cs="Arial"/>
          <w:sz w:val="24"/>
          <w:szCs w:val="24"/>
        </w:rPr>
      </w:pPr>
    </w:p>
    <w:p w:rsidR="00042983" w:rsidRPr="00042983" w:rsidRDefault="00042983" w:rsidP="007D77A5">
      <w:pPr>
        <w:keepNext/>
        <w:spacing w:after="0"/>
        <w:ind w:left="720"/>
        <w:outlineLvl w:val="0"/>
        <w:rPr>
          <w:rFonts w:ascii="Arial" w:eastAsia="Times New Roman" w:hAnsi="Arial" w:cs="Arial"/>
          <w:b/>
          <w:bCs/>
          <w:kern w:val="32"/>
          <w:sz w:val="24"/>
          <w:szCs w:val="24"/>
        </w:rPr>
      </w:pPr>
      <w:bookmarkStart w:id="2" w:name="_Toc30379312"/>
      <w:r w:rsidRPr="00042983">
        <w:rPr>
          <w:rFonts w:ascii="Arial" w:eastAsia="Times New Roman" w:hAnsi="Arial" w:cs="Arial"/>
          <w:b/>
          <w:bCs/>
          <w:kern w:val="32"/>
          <w:sz w:val="24"/>
          <w:szCs w:val="24"/>
        </w:rPr>
        <w:t>ЗАВРШНИ СОГЛЕДУВАЊА</w:t>
      </w:r>
      <w:bookmarkEnd w:id="2"/>
    </w:p>
    <w:p w:rsidR="00042983" w:rsidRPr="00042983" w:rsidRDefault="00042983" w:rsidP="00042983">
      <w:pPr>
        <w:spacing w:after="0" w:line="276" w:lineRule="auto"/>
        <w:jc w:val="both"/>
        <w:rPr>
          <w:rFonts w:ascii="Arial" w:eastAsia="Calibri" w:hAnsi="Arial" w:cs="Arial"/>
          <w:b/>
          <w:bCs/>
          <w:sz w:val="24"/>
          <w:szCs w:val="24"/>
        </w:rPr>
      </w:pPr>
    </w:p>
    <w:p w:rsidR="00042983" w:rsidRPr="00042983" w:rsidRDefault="00042983" w:rsidP="007D77A5">
      <w:pPr>
        <w:spacing w:after="0" w:line="276" w:lineRule="auto"/>
        <w:ind w:left="720"/>
        <w:jc w:val="both"/>
        <w:rPr>
          <w:rFonts w:ascii="Arial" w:eastAsia="Calibri" w:hAnsi="Arial" w:cs="Arial"/>
          <w:sz w:val="24"/>
          <w:szCs w:val="24"/>
        </w:rPr>
      </w:pPr>
      <w:r w:rsidRPr="00042983">
        <w:rPr>
          <w:rFonts w:ascii="Arial" w:eastAsia="Calibri" w:hAnsi="Arial" w:cs="Arial"/>
          <w:sz w:val="24"/>
          <w:szCs w:val="24"/>
        </w:rPr>
        <w:t>Во текот на периодот 01 јули – 20 деке</w:t>
      </w:r>
      <w:r w:rsidR="0058568B">
        <w:rPr>
          <w:rFonts w:ascii="Arial" w:eastAsia="Calibri" w:hAnsi="Arial" w:cs="Arial"/>
          <w:sz w:val="24"/>
          <w:szCs w:val="24"/>
        </w:rPr>
        <w:t>мври 2019 година, Собраниските к</w:t>
      </w:r>
      <w:r w:rsidRPr="00042983">
        <w:rPr>
          <w:rFonts w:ascii="Arial" w:eastAsia="Calibri" w:hAnsi="Arial" w:cs="Arial"/>
          <w:sz w:val="24"/>
          <w:szCs w:val="24"/>
        </w:rPr>
        <w:t xml:space="preserve">омисии кои беа предмет на оваа анализа (Комисија за образование, наука и спорт; Комисија за здравство; и Комисија за труд и социјална политика) одржале вкупно 26 седници, третирајќи вкупно 40 предлог закони, што </w:t>
      </w:r>
      <w:r w:rsidRPr="00042983">
        <w:rPr>
          <w:rFonts w:ascii="Arial" w:eastAsia="Calibri" w:hAnsi="Arial" w:cs="Arial"/>
          <w:sz w:val="24"/>
          <w:szCs w:val="24"/>
        </w:rPr>
        <w:lastRenderedPageBreak/>
        <w:t>укажува на висока фр</w:t>
      </w:r>
      <w:r w:rsidR="0058568B">
        <w:rPr>
          <w:rFonts w:ascii="Arial" w:eastAsia="Calibri" w:hAnsi="Arial" w:cs="Arial"/>
          <w:sz w:val="24"/>
          <w:szCs w:val="24"/>
        </w:rPr>
        <w:t>еквенција на функционалност на к</w:t>
      </w:r>
      <w:r w:rsidRPr="00042983">
        <w:rPr>
          <w:rFonts w:ascii="Arial" w:eastAsia="Calibri" w:hAnsi="Arial" w:cs="Arial"/>
          <w:sz w:val="24"/>
          <w:szCs w:val="24"/>
        </w:rPr>
        <w:t>омисиите. Најмногу седници одржала Комисијата за труд и социјална политика (вкупно 10).</w:t>
      </w:r>
    </w:p>
    <w:p w:rsidR="00042983" w:rsidRPr="00042983" w:rsidRDefault="00042983" w:rsidP="00042983">
      <w:pPr>
        <w:spacing w:after="0" w:line="276" w:lineRule="auto"/>
        <w:ind w:left="720"/>
        <w:jc w:val="both"/>
        <w:rPr>
          <w:rFonts w:ascii="Arial" w:eastAsia="Calibri" w:hAnsi="Arial" w:cs="Arial"/>
          <w:sz w:val="24"/>
          <w:szCs w:val="24"/>
        </w:rPr>
      </w:pPr>
    </w:p>
    <w:p w:rsidR="00042983" w:rsidRPr="00042983" w:rsidRDefault="00042983" w:rsidP="007D77A5">
      <w:pPr>
        <w:spacing w:after="0" w:line="276" w:lineRule="auto"/>
        <w:ind w:left="720"/>
        <w:jc w:val="both"/>
        <w:rPr>
          <w:rFonts w:ascii="Arial" w:eastAsia="Calibri" w:hAnsi="Arial" w:cs="Arial"/>
          <w:sz w:val="24"/>
          <w:szCs w:val="24"/>
        </w:rPr>
      </w:pPr>
      <w:r w:rsidRPr="00042983">
        <w:rPr>
          <w:rFonts w:ascii="Arial" w:eastAsia="Calibri" w:hAnsi="Arial" w:cs="Arial"/>
          <w:sz w:val="24"/>
          <w:szCs w:val="24"/>
        </w:rPr>
        <w:t>Комисиите имаат високо ниво на застапеност на детските права во нивната работа во известувачкиот период. Според анализата, на вкупно 11 седници се дискутирало за детските права (42%), од кои само на 7 седници се дискутирало директно за де</w:t>
      </w:r>
      <w:r w:rsidR="0058568B">
        <w:rPr>
          <w:rFonts w:ascii="Arial" w:eastAsia="Calibri" w:hAnsi="Arial" w:cs="Arial"/>
          <w:sz w:val="24"/>
          <w:szCs w:val="24"/>
        </w:rPr>
        <w:t>т</w:t>
      </w:r>
      <w:r w:rsidRPr="00042983">
        <w:rPr>
          <w:rFonts w:ascii="Arial" w:eastAsia="Calibri" w:hAnsi="Arial" w:cs="Arial"/>
          <w:sz w:val="24"/>
          <w:szCs w:val="24"/>
        </w:rPr>
        <w:t>ските права (27%). Понатаму, детските права биле вклучени во 12 предлог закони од вкупно 40 (30%). Директно, детските права биле застапени во 6 предлог закони од вкупно 40 (15%).</w:t>
      </w:r>
    </w:p>
    <w:p w:rsidR="00042983" w:rsidRPr="00042983" w:rsidRDefault="00042983" w:rsidP="00042983">
      <w:pPr>
        <w:spacing w:after="0" w:line="276" w:lineRule="auto"/>
        <w:ind w:left="720"/>
        <w:rPr>
          <w:rFonts w:ascii="Arial" w:eastAsia="Calibri" w:hAnsi="Arial" w:cs="Arial"/>
          <w:sz w:val="24"/>
          <w:szCs w:val="24"/>
        </w:rPr>
      </w:pPr>
    </w:p>
    <w:p w:rsidR="00042983" w:rsidRPr="00042983" w:rsidRDefault="00042983" w:rsidP="007D77A5">
      <w:pPr>
        <w:spacing w:after="0" w:line="276" w:lineRule="auto"/>
        <w:ind w:left="720"/>
        <w:jc w:val="both"/>
        <w:rPr>
          <w:rFonts w:ascii="Arial" w:eastAsia="Calibri" w:hAnsi="Arial" w:cs="Arial"/>
          <w:sz w:val="24"/>
          <w:szCs w:val="24"/>
        </w:rPr>
      </w:pPr>
      <w:r w:rsidRPr="00042983">
        <w:rPr>
          <w:rFonts w:ascii="Arial" w:eastAsia="Calibri" w:hAnsi="Arial" w:cs="Arial"/>
          <w:sz w:val="24"/>
          <w:szCs w:val="24"/>
        </w:rPr>
        <w:t>4 предлог закони од вкупно 12, биле поднесени од г</w:t>
      </w:r>
      <w:r w:rsidR="0058568B">
        <w:rPr>
          <w:rFonts w:ascii="Arial" w:eastAsia="Calibri" w:hAnsi="Arial" w:cs="Arial"/>
          <w:sz w:val="24"/>
          <w:szCs w:val="24"/>
        </w:rPr>
        <w:t>рупа на пратеници, од кои 3 се п</w:t>
      </w:r>
      <w:r w:rsidRPr="00042983">
        <w:rPr>
          <w:rFonts w:ascii="Arial" w:eastAsia="Calibri" w:hAnsi="Arial" w:cs="Arial"/>
          <w:sz w:val="24"/>
          <w:szCs w:val="24"/>
        </w:rPr>
        <w:t xml:space="preserve">редлог закони за изменување и дополнување на закони по скратена постапка а само 1 е предлог закон (закон за младинско учество и младински политики). </w:t>
      </w:r>
    </w:p>
    <w:p w:rsidR="00042983" w:rsidRPr="00042983" w:rsidRDefault="00042983" w:rsidP="00042983">
      <w:pPr>
        <w:spacing w:after="0" w:line="276" w:lineRule="auto"/>
        <w:ind w:left="1440"/>
        <w:jc w:val="both"/>
        <w:rPr>
          <w:rFonts w:ascii="Arial" w:eastAsia="Calibri" w:hAnsi="Arial" w:cs="Arial"/>
          <w:sz w:val="24"/>
          <w:szCs w:val="24"/>
        </w:rPr>
      </w:pPr>
    </w:p>
    <w:p w:rsidR="00042983" w:rsidRPr="00042983" w:rsidRDefault="00042983" w:rsidP="007D77A5">
      <w:pPr>
        <w:spacing w:after="0" w:line="276" w:lineRule="auto"/>
        <w:ind w:left="720"/>
        <w:jc w:val="both"/>
        <w:rPr>
          <w:rFonts w:ascii="Arial" w:eastAsia="Calibri" w:hAnsi="Arial" w:cs="Arial"/>
          <w:b/>
          <w:bCs/>
          <w:sz w:val="24"/>
          <w:szCs w:val="24"/>
        </w:rPr>
      </w:pPr>
      <w:r w:rsidRPr="00042983">
        <w:rPr>
          <w:rFonts w:ascii="Arial" w:eastAsia="Calibri" w:hAnsi="Arial" w:cs="Arial"/>
          <w:sz w:val="24"/>
          <w:szCs w:val="24"/>
        </w:rPr>
        <w:t xml:space="preserve">Комисијата за труд и социјална политика како и Комисијата за образование, наука и спорт во најголем дел, директно ги третираат детските права, за разлика од Комисијата за здравство каде индиректно се адресираат детските права. Најголем напредок при примена на детските права може да се забележи во Законот за основно образование.   </w:t>
      </w:r>
    </w:p>
    <w:p w:rsidR="00042983" w:rsidRPr="00042983" w:rsidRDefault="00042983" w:rsidP="00042983">
      <w:pPr>
        <w:ind w:left="720"/>
        <w:rPr>
          <w:rFonts w:ascii="Arial" w:eastAsia="Calibri" w:hAnsi="Arial" w:cs="Arial"/>
          <w:b/>
          <w:bCs/>
          <w:sz w:val="24"/>
          <w:szCs w:val="24"/>
        </w:rPr>
      </w:pPr>
    </w:p>
    <w:p w:rsidR="00042983" w:rsidRPr="00042983" w:rsidRDefault="00042983" w:rsidP="007D77A5">
      <w:pPr>
        <w:spacing w:after="0" w:line="276" w:lineRule="auto"/>
        <w:ind w:left="720"/>
        <w:jc w:val="both"/>
        <w:rPr>
          <w:rFonts w:ascii="Arial" w:eastAsia="Calibri" w:hAnsi="Arial" w:cs="Arial"/>
          <w:sz w:val="24"/>
          <w:szCs w:val="24"/>
        </w:rPr>
      </w:pPr>
      <w:r w:rsidRPr="00042983">
        <w:rPr>
          <w:rFonts w:ascii="Arial" w:eastAsia="Calibri" w:hAnsi="Arial" w:cs="Arial"/>
          <w:sz w:val="24"/>
          <w:szCs w:val="24"/>
        </w:rPr>
        <w:t>Собранието дискутирало за детски права на 10 од 20 седници (50%) кои се одржале во периодот на известување. Од вкупно 25 точки т.е. прашања кои се однесувале на детските права во рамките на работата на Собранието, 15 се однесувале директно на детските права. За детските права директно се дискутирало на сите седници на кои се поставувале пратенички прашања.</w:t>
      </w:r>
    </w:p>
    <w:p w:rsidR="00042983" w:rsidRPr="00042983" w:rsidRDefault="00042983" w:rsidP="00042983">
      <w:pPr>
        <w:spacing w:after="0" w:line="276" w:lineRule="auto"/>
        <w:ind w:left="720"/>
        <w:rPr>
          <w:rFonts w:ascii="Arial" w:eastAsia="Calibri" w:hAnsi="Arial" w:cs="Arial"/>
          <w:sz w:val="24"/>
          <w:szCs w:val="24"/>
        </w:rPr>
      </w:pPr>
    </w:p>
    <w:p w:rsidR="00042983" w:rsidRPr="00042983" w:rsidRDefault="00042983" w:rsidP="007D77A5">
      <w:pPr>
        <w:spacing w:after="0" w:line="276" w:lineRule="auto"/>
        <w:ind w:left="720"/>
        <w:jc w:val="both"/>
        <w:rPr>
          <w:rFonts w:ascii="Arial" w:eastAsia="Calibri" w:hAnsi="Arial" w:cs="Arial"/>
          <w:sz w:val="24"/>
          <w:szCs w:val="24"/>
        </w:rPr>
      </w:pPr>
      <w:r w:rsidRPr="00042983">
        <w:rPr>
          <w:rFonts w:ascii="Arial" w:eastAsia="Calibri" w:hAnsi="Arial" w:cs="Arial"/>
          <w:sz w:val="24"/>
          <w:szCs w:val="24"/>
        </w:rPr>
        <w:t xml:space="preserve">Фокусот на пратенички прашања кои ги засегаат детските права е образованието (8 од 11 прашања се однесувале на образованието), што е промена во споредба со претходните периоди во рамките на Собранието. </w:t>
      </w:r>
    </w:p>
    <w:p w:rsidR="00042983" w:rsidRPr="00042983" w:rsidRDefault="00042983" w:rsidP="00042983">
      <w:pPr>
        <w:spacing w:after="0" w:line="276" w:lineRule="auto"/>
        <w:ind w:left="720"/>
        <w:rPr>
          <w:rFonts w:ascii="Arial" w:eastAsia="Calibri" w:hAnsi="Arial" w:cs="Arial"/>
          <w:sz w:val="24"/>
          <w:szCs w:val="24"/>
        </w:rPr>
      </w:pPr>
    </w:p>
    <w:p w:rsidR="00042983" w:rsidRPr="00042983" w:rsidRDefault="00042983" w:rsidP="00151D11">
      <w:pPr>
        <w:spacing w:after="0" w:line="276" w:lineRule="auto"/>
        <w:ind w:left="720"/>
        <w:jc w:val="both"/>
        <w:rPr>
          <w:rFonts w:ascii="Arial" w:eastAsia="Calibri" w:hAnsi="Arial" w:cs="Arial"/>
          <w:b/>
          <w:sz w:val="24"/>
          <w:szCs w:val="24"/>
        </w:rPr>
      </w:pPr>
      <w:r w:rsidRPr="00042983">
        <w:rPr>
          <w:rFonts w:ascii="Arial" w:eastAsia="Calibri" w:hAnsi="Arial" w:cs="Arial"/>
          <w:b/>
          <w:sz w:val="24"/>
          <w:szCs w:val="24"/>
        </w:rPr>
        <w:t>За прв пат во Собранието се донесуваат закони кои овозможуваат системски услови за практикување на учеството на децата и младите преку Законот за основно образование и Законот за младинско учество и младински политики.</w:t>
      </w:r>
    </w:p>
    <w:p w:rsidR="00042983" w:rsidRPr="00042983" w:rsidRDefault="00042983" w:rsidP="00042983">
      <w:pPr>
        <w:spacing w:after="0" w:line="276" w:lineRule="auto"/>
        <w:ind w:left="720"/>
        <w:rPr>
          <w:rFonts w:ascii="Arial" w:eastAsia="Calibri" w:hAnsi="Arial" w:cs="Arial"/>
          <w:sz w:val="24"/>
          <w:szCs w:val="24"/>
        </w:rPr>
      </w:pPr>
    </w:p>
    <w:p w:rsidR="00042983" w:rsidRPr="00042983" w:rsidRDefault="00042983" w:rsidP="007D77A5">
      <w:pPr>
        <w:spacing w:after="0" w:line="276" w:lineRule="auto"/>
        <w:ind w:left="720"/>
        <w:jc w:val="both"/>
        <w:rPr>
          <w:rFonts w:ascii="Arial" w:eastAsia="Calibri" w:hAnsi="Arial" w:cs="Arial"/>
          <w:sz w:val="24"/>
          <w:szCs w:val="24"/>
        </w:rPr>
      </w:pPr>
      <w:r w:rsidRPr="00042983">
        <w:rPr>
          <w:rFonts w:ascii="Arial" w:eastAsia="Calibri" w:hAnsi="Arial" w:cs="Arial"/>
          <w:sz w:val="24"/>
          <w:szCs w:val="24"/>
        </w:rPr>
        <w:t>Во текот на работата на Собранието, често се споменува загадувањето на воздухот во државата а посебно во Скопје, имајќи предвид дека е состојба која негативно влијае на квалитетот на живот на децата</w:t>
      </w:r>
    </w:p>
    <w:p w:rsidR="00042983" w:rsidRPr="00042983" w:rsidRDefault="00042983" w:rsidP="00042983">
      <w:pPr>
        <w:spacing w:after="0" w:line="276" w:lineRule="auto"/>
        <w:ind w:left="720"/>
        <w:rPr>
          <w:rFonts w:ascii="Arial" w:eastAsia="Calibri" w:hAnsi="Arial" w:cs="Arial"/>
          <w:b/>
          <w:bCs/>
          <w:sz w:val="24"/>
          <w:szCs w:val="24"/>
        </w:rPr>
      </w:pPr>
    </w:p>
    <w:p w:rsidR="00042983" w:rsidRPr="00042983" w:rsidRDefault="00042983" w:rsidP="007D77A5">
      <w:pPr>
        <w:spacing w:after="0" w:line="276" w:lineRule="auto"/>
        <w:ind w:left="720"/>
        <w:jc w:val="both"/>
        <w:rPr>
          <w:rFonts w:ascii="Arial" w:eastAsia="Calibri" w:hAnsi="Arial" w:cs="Arial"/>
          <w:sz w:val="24"/>
          <w:szCs w:val="24"/>
        </w:rPr>
      </w:pPr>
      <w:r w:rsidRPr="00042983">
        <w:rPr>
          <w:rFonts w:ascii="Arial" w:eastAsia="Calibri" w:hAnsi="Arial" w:cs="Arial"/>
          <w:sz w:val="24"/>
          <w:szCs w:val="24"/>
        </w:rPr>
        <w:lastRenderedPageBreak/>
        <w:t>Предлог законските текстови опфатиле вкупно 11 членови од Конвенцијата за правата на детето и тоа:</w:t>
      </w:r>
    </w:p>
    <w:p w:rsidR="00042983" w:rsidRPr="00042983" w:rsidRDefault="00042983" w:rsidP="00042983">
      <w:pPr>
        <w:numPr>
          <w:ilvl w:val="1"/>
          <w:numId w:val="4"/>
        </w:numPr>
        <w:spacing w:after="0" w:line="276" w:lineRule="auto"/>
        <w:jc w:val="both"/>
        <w:rPr>
          <w:rFonts w:ascii="Arial" w:eastAsia="Calibri" w:hAnsi="Arial" w:cs="Arial"/>
          <w:sz w:val="24"/>
          <w:szCs w:val="24"/>
        </w:rPr>
      </w:pPr>
      <w:r w:rsidRPr="00042983">
        <w:rPr>
          <w:rFonts w:ascii="Arial" w:eastAsia="Calibri" w:hAnsi="Arial" w:cs="Arial"/>
          <w:sz w:val="24"/>
          <w:szCs w:val="24"/>
        </w:rPr>
        <w:t>Правото на недискриминација на детето (член 2)</w:t>
      </w:r>
    </w:p>
    <w:p w:rsidR="00042983" w:rsidRPr="00042983" w:rsidRDefault="00042983" w:rsidP="00042983">
      <w:pPr>
        <w:numPr>
          <w:ilvl w:val="1"/>
          <w:numId w:val="4"/>
        </w:numPr>
        <w:spacing w:after="0" w:line="276" w:lineRule="auto"/>
        <w:jc w:val="both"/>
        <w:rPr>
          <w:rFonts w:ascii="Arial" w:eastAsia="Calibri" w:hAnsi="Arial" w:cs="Arial"/>
          <w:sz w:val="24"/>
          <w:szCs w:val="24"/>
        </w:rPr>
      </w:pPr>
      <w:r w:rsidRPr="00042983">
        <w:rPr>
          <w:rFonts w:ascii="Arial" w:eastAsia="Calibri" w:hAnsi="Arial" w:cs="Arial"/>
          <w:sz w:val="24"/>
          <w:szCs w:val="24"/>
        </w:rPr>
        <w:t xml:space="preserve">Правото на најдобар интерес на детето (член 3) </w:t>
      </w:r>
    </w:p>
    <w:p w:rsidR="00042983" w:rsidRPr="00042983" w:rsidRDefault="00042983" w:rsidP="00042983">
      <w:pPr>
        <w:numPr>
          <w:ilvl w:val="1"/>
          <w:numId w:val="4"/>
        </w:numPr>
        <w:spacing w:after="0" w:line="276" w:lineRule="auto"/>
        <w:jc w:val="both"/>
        <w:rPr>
          <w:rFonts w:ascii="Arial" w:eastAsia="Calibri" w:hAnsi="Arial" w:cs="Arial"/>
          <w:sz w:val="24"/>
          <w:szCs w:val="24"/>
        </w:rPr>
      </w:pPr>
      <w:r w:rsidRPr="00042983">
        <w:rPr>
          <w:rFonts w:ascii="Arial" w:eastAsia="Calibri" w:hAnsi="Arial" w:cs="Arial"/>
          <w:sz w:val="24"/>
          <w:szCs w:val="24"/>
        </w:rPr>
        <w:t>Правото на слободно изразување на сопственото мислење (член 12)</w:t>
      </w:r>
    </w:p>
    <w:p w:rsidR="00042983" w:rsidRPr="00042983" w:rsidRDefault="00042983" w:rsidP="00042983">
      <w:pPr>
        <w:numPr>
          <w:ilvl w:val="1"/>
          <w:numId w:val="4"/>
        </w:numPr>
        <w:spacing w:after="0" w:line="276" w:lineRule="auto"/>
        <w:jc w:val="both"/>
        <w:rPr>
          <w:rFonts w:ascii="Arial" w:eastAsia="Calibri" w:hAnsi="Arial" w:cs="Arial"/>
          <w:sz w:val="24"/>
          <w:szCs w:val="24"/>
        </w:rPr>
      </w:pPr>
      <w:r w:rsidRPr="00042983">
        <w:rPr>
          <w:rFonts w:ascii="Arial" w:eastAsia="Calibri" w:hAnsi="Arial" w:cs="Arial"/>
          <w:sz w:val="24"/>
          <w:szCs w:val="24"/>
        </w:rPr>
        <w:t>Правото на детето на слобода на здружување (член 15)</w:t>
      </w:r>
    </w:p>
    <w:p w:rsidR="00042983" w:rsidRPr="00042983" w:rsidRDefault="00042983" w:rsidP="00042983">
      <w:pPr>
        <w:numPr>
          <w:ilvl w:val="1"/>
          <w:numId w:val="4"/>
        </w:numPr>
        <w:spacing w:after="0" w:line="276" w:lineRule="auto"/>
        <w:jc w:val="both"/>
        <w:rPr>
          <w:rFonts w:ascii="Arial" w:eastAsia="Calibri" w:hAnsi="Arial" w:cs="Arial"/>
          <w:sz w:val="24"/>
          <w:szCs w:val="24"/>
        </w:rPr>
      </w:pPr>
      <w:r w:rsidRPr="00042983">
        <w:rPr>
          <w:rFonts w:ascii="Arial" w:eastAsia="Calibri" w:hAnsi="Arial" w:cs="Arial"/>
          <w:sz w:val="24"/>
          <w:szCs w:val="24"/>
        </w:rPr>
        <w:t>Правото на детето на заедничка одговорност во подигање и во развојот на детето од двајцата родители (член 18)</w:t>
      </w:r>
    </w:p>
    <w:p w:rsidR="00042983" w:rsidRPr="00042983" w:rsidRDefault="00042983" w:rsidP="00042983">
      <w:pPr>
        <w:numPr>
          <w:ilvl w:val="1"/>
          <w:numId w:val="4"/>
        </w:numPr>
        <w:spacing w:after="0" w:line="276" w:lineRule="auto"/>
        <w:jc w:val="both"/>
        <w:rPr>
          <w:rFonts w:ascii="Arial" w:eastAsia="Calibri" w:hAnsi="Arial" w:cs="Arial"/>
          <w:sz w:val="24"/>
          <w:szCs w:val="24"/>
        </w:rPr>
      </w:pPr>
      <w:r w:rsidRPr="00042983">
        <w:rPr>
          <w:rFonts w:ascii="Arial" w:eastAsia="Calibri" w:hAnsi="Arial" w:cs="Arial"/>
          <w:sz w:val="24"/>
          <w:szCs w:val="24"/>
        </w:rPr>
        <w:t>Право на заштита од сите облици на насилство (член 19)</w:t>
      </w:r>
    </w:p>
    <w:p w:rsidR="00042983" w:rsidRPr="00042983" w:rsidRDefault="00042983" w:rsidP="00042983">
      <w:pPr>
        <w:numPr>
          <w:ilvl w:val="1"/>
          <w:numId w:val="4"/>
        </w:numPr>
        <w:spacing w:after="0" w:line="276" w:lineRule="auto"/>
        <w:jc w:val="both"/>
        <w:rPr>
          <w:rFonts w:ascii="Arial" w:eastAsia="Calibri" w:hAnsi="Arial" w:cs="Arial"/>
          <w:sz w:val="24"/>
          <w:szCs w:val="24"/>
        </w:rPr>
      </w:pPr>
      <w:r w:rsidRPr="00042983">
        <w:rPr>
          <w:rFonts w:ascii="Arial" w:eastAsia="Calibri" w:hAnsi="Arial" w:cs="Arial"/>
          <w:sz w:val="24"/>
          <w:szCs w:val="24"/>
        </w:rPr>
        <w:t>Право на целосен и достоен живот на децата со попреченост (член  23)</w:t>
      </w:r>
    </w:p>
    <w:p w:rsidR="00042983" w:rsidRPr="00042983" w:rsidRDefault="00042983" w:rsidP="00042983">
      <w:pPr>
        <w:numPr>
          <w:ilvl w:val="1"/>
          <w:numId w:val="4"/>
        </w:numPr>
        <w:spacing w:after="0" w:line="276" w:lineRule="auto"/>
        <w:jc w:val="both"/>
        <w:rPr>
          <w:rFonts w:ascii="Arial" w:eastAsia="Calibri" w:hAnsi="Arial" w:cs="Arial"/>
          <w:sz w:val="24"/>
          <w:szCs w:val="24"/>
        </w:rPr>
      </w:pPr>
      <w:r w:rsidRPr="00042983">
        <w:rPr>
          <w:rFonts w:ascii="Arial" w:eastAsia="Calibri" w:hAnsi="Arial" w:cs="Arial"/>
          <w:sz w:val="24"/>
          <w:szCs w:val="24"/>
        </w:rPr>
        <w:t>Право на детето на здравствена и медицинска заштита (член 24)</w:t>
      </w:r>
    </w:p>
    <w:p w:rsidR="00042983" w:rsidRPr="00042983" w:rsidRDefault="00042983" w:rsidP="00042983">
      <w:pPr>
        <w:numPr>
          <w:ilvl w:val="1"/>
          <w:numId w:val="4"/>
        </w:numPr>
        <w:spacing w:after="0" w:line="276" w:lineRule="auto"/>
        <w:jc w:val="both"/>
        <w:rPr>
          <w:rFonts w:ascii="Arial" w:eastAsia="Calibri" w:hAnsi="Arial" w:cs="Arial"/>
          <w:sz w:val="24"/>
          <w:szCs w:val="24"/>
        </w:rPr>
      </w:pPr>
      <w:r w:rsidRPr="00042983">
        <w:rPr>
          <w:rFonts w:ascii="Arial" w:eastAsia="Calibri" w:hAnsi="Arial" w:cs="Arial"/>
          <w:sz w:val="24"/>
          <w:szCs w:val="24"/>
        </w:rPr>
        <w:t>Право на животен стандард адекватен на развојот на детето (член 27)</w:t>
      </w:r>
    </w:p>
    <w:p w:rsidR="00042983" w:rsidRPr="00042983" w:rsidRDefault="00042983" w:rsidP="00042983">
      <w:pPr>
        <w:numPr>
          <w:ilvl w:val="1"/>
          <w:numId w:val="4"/>
        </w:numPr>
        <w:spacing w:after="0" w:line="276" w:lineRule="auto"/>
        <w:jc w:val="both"/>
        <w:rPr>
          <w:rFonts w:ascii="Arial" w:eastAsia="Calibri" w:hAnsi="Arial" w:cs="Arial"/>
          <w:sz w:val="24"/>
          <w:szCs w:val="24"/>
        </w:rPr>
      </w:pPr>
      <w:r w:rsidRPr="00042983">
        <w:rPr>
          <w:rFonts w:ascii="Arial" w:eastAsia="Calibri" w:hAnsi="Arial" w:cs="Arial"/>
          <w:sz w:val="24"/>
          <w:szCs w:val="24"/>
        </w:rPr>
        <w:t>Право на образование на детето (член 28)</w:t>
      </w:r>
    </w:p>
    <w:p w:rsidR="00042983" w:rsidRPr="00042983" w:rsidRDefault="00042983" w:rsidP="00042983">
      <w:pPr>
        <w:numPr>
          <w:ilvl w:val="1"/>
          <w:numId w:val="4"/>
        </w:numPr>
        <w:spacing w:after="0" w:line="276" w:lineRule="auto"/>
        <w:jc w:val="both"/>
        <w:rPr>
          <w:rFonts w:ascii="Arial" w:eastAsia="Calibri" w:hAnsi="Arial" w:cs="Arial"/>
          <w:sz w:val="24"/>
          <w:szCs w:val="24"/>
        </w:rPr>
      </w:pPr>
      <w:r w:rsidRPr="00042983">
        <w:rPr>
          <w:rFonts w:ascii="Arial" w:eastAsia="Calibri" w:hAnsi="Arial" w:cs="Arial"/>
          <w:sz w:val="24"/>
          <w:szCs w:val="24"/>
        </w:rPr>
        <w:t>Право на квалитет на образованието (член 29)</w:t>
      </w:r>
    </w:p>
    <w:p w:rsidR="00042983" w:rsidRPr="00042983" w:rsidRDefault="00042983" w:rsidP="00042983">
      <w:pPr>
        <w:numPr>
          <w:ilvl w:val="1"/>
          <w:numId w:val="4"/>
        </w:numPr>
        <w:spacing w:after="0" w:line="276" w:lineRule="auto"/>
        <w:jc w:val="both"/>
        <w:rPr>
          <w:rFonts w:ascii="Arial" w:eastAsia="Calibri" w:hAnsi="Arial" w:cs="Arial"/>
          <w:sz w:val="24"/>
          <w:szCs w:val="24"/>
        </w:rPr>
      </w:pPr>
      <w:r w:rsidRPr="00042983">
        <w:rPr>
          <w:rFonts w:ascii="Arial" w:eastAsia="Calibri" w:hAnsi="Arial" w:cs="Arial"/>
          <w:sz w:val="24"/>
          <w:szCs w:val="24"/>
        </w:rPr>
        <w:t>Право на заштита од облици на експлоатација штетни за детето (Член 36)</w:t>
      </w:r>
    </w:p>
    <w:p w:rsidR="00042983" w:rsidRPr="00042983" w:rsidRDefault="00042983" w:rsidP="00042983">
      <w:pPr>
        <w:numPr>
          <w:ilvl w:val="1"/>
          <w:numId w:val="4"/>
        </w:numPr>
        <w:spacing w:after="0" w:line="276" w:lineRule="auto"/>
        <w:jc w:val="both"/>
        <w:rPr>
          <w:rFonts w:ascii="Arial" w:eastAsia="Calibri" w:hAnsi="Arial" w:cs="Arial"/>
          <w:sz w:val="24"/>
          <w:szCs w:val="24"/>
        </w:rPr>
      </w:pPr>
      <w:r w:rsidRPr="00042983">
        <w:rPr>
          <w:rFonts w:ascii="Arial" w:eastAsia="Calibri" w:hAnsi="Arial" w:cs="Arial"/>
          <w:sz w:val="24"/>
          <w:szCs w:val="24"/>
        </w:rPr>
        <w:t>Право на детето да се почитуваат неговите основни права и слободи при водење на постапка за прекршен закон (Член 40)</w:t>
      </w:r>
    </w:p>
    <w:p w:rsidR="00042983" w:rsidRPr="00042983" w:rsidRDefault="00042983" w:rsidP="00042983">
      <w:pPr>
        <w:spacing w:after="0" w:line="276" w:lineRule="auto"/>
        <w:ind w:left="1440"/>
        <w:jc w:val="both"/>
        <w:rPr>
          <w:rFonts w:ascii="Arial" w:eastAsia="Calibri" w:hAnsi="Arial" w:cs="Arial"/>
          <w:sz w:val="24"/>
          <w:szCs w:val="24"/>
        </w:rPr>
      </w:pPr>
    </w:p>
    <w:p w:rsidR="00042983" w:rsidRPr="00042983" w:rsidRDefault="00042983" w:rsidP="007D77A5">
      <w:pPr>
        <w:spacing w:after="0" w:line="276" w:lineRule="auto"/>
        <w:ind w:left="720"/>
        <w:jc w:val="both"/>
        <w:rPr>
          <w:rFonts w:ascii="Arial" w:eastAsia="Calibri" w:hAnsi="Arial" w:cs="Arial"/>
          <w:bCs/>
          <w:sz w:val="24"/>
          <w:szCs w:val="24"/>
        </w:rPr>
      </w:pPr>
      <w:r w:rsidRPr="00042983">
        <w:rPr>
          <w:rFonts w:ascii="Arial" w:eastAsia="Calibri" w:hAnsi="Arial" w:cs="Arial"/>
          <w:bCs/>
          <w:sz w:val="24"/>
          <w:szCs w:val="24"/>
        </w:rPr>
        <w:t xml:space="preserve">Граѓанските организации треба да ја унапредат комуникацијата со пратениците и Собраниските </w:t>
      </w:r>
      <w:r w:rsidR="0058568B">
        <w:rPr>
          <w:rFonts w:ascii="Arial" w:eastAsia="Calibri" w:hAnsi="Arial" w:cs="Arial"/>
          <w:bCs/>
          <w:sz w:val="24"/>
          <w:szCs w:val="24"/>
        </w:rPr>
        <w:t>к</w:t>
      </w:r>
      <w:r w:rsidRPr="00042983">
        <w:rPr>
          <w:rFonts w:ascii="Arial" w:eastAsia="Calibri" w:hAnsi="Arial" w:cs="Arial"/>
          <w:bCs/>
          <w:sz w:val="24"/>
          <w:szCs w:val="24"/>
        </w:rPr>
        <w:t xml:space="preserve">омисии во насока на обезбедување на поддршка и доедукација за одредени теми кои се актуелни во работата на Собранието. </w:t>
      </w:r>
    </w:p>
    <w:p w:rsidR="00042983" w:rsidRPr="00042983" w:rsidRDefault="00042983" w:rsidP="00042983">
      <w:pPr>
        <w:spacing w:after="0" w:line="276" w:lineRule="auto"/>
        <w:ind w:left="360"/>
        <w:jc w:val="both"/>
        <w:rPr>
          <w:rFonts w:ascii="Arial" w:eastAsia="Calibri" w:hAnsi="Arial" w:cs="Arial"/>
          <w:bCs/>
          <w:sz w:val="24"/>
          <w:szCs w:val="24"/>
        </w:rPr>
      </w:pPr>
    </w:p>
    <w:p w:rsidR="00042983" w:rsidRPr="00042983" w:rsidRDefault="00042983" w:rsidP="007D77A5">
      <w:pPr>
        <w:spacing w:after="0" w:line="276" w:lineRule="auto"/>
        <w:ind w:left="720"/>
        <w:jc w:val="both"/>
        <w:rPr>
          <w:rFonts w:ascii="Arial" w:eastAsia="Calibri" w:hAnsi="Arial" w:cs="Arial"/>
          <w:bCs/>
          <w:sz w:val="24"/>
          <w:szCs w:val="24"/>
        </w:rPr>
      </w:pPr>
      <w:r w:rsidRPr="00042983">
        <w:rPr>
          <w:rFonts w:ascii="Arial" w:eastAsia="Calibri" w:hAnsi="Arial" w:cs="Arial"/>
          <w:bCs/>
          <w:sz w:val="24"/>
          <w:szCs w:val="24"/>
        </w:rPr>
        <w:t xml:space="preserve">Граѓанските организации кои работат на детските права, треба да се насочат кон зајакнување на застапувањето кон клучните чинители на национално ниво </w:t>
      </w:r>
    </w:p>
    <w:p w:rsidR="00042983" w:rsidRPr="00042983" w:rsidRDefault="00042983" w:rsidP="00042983">
      <w:pPr>
        <w:spacing w:after="0" w:line="276" w:lineRule="auto"/>
        <w:ind w:left="720"/>
        <w:rPr>
          <w:rFonts w:ascii="Arial" w:eastAsia="Calibri" w:hAnsi="Arial" w:cs="Arial"/>
          <w:bCs/>
          <w:sz w:val="24"/>
          <w:szCs w:val="24"/>
        </w:rPr>
      </w:pPr>
    </w:p>
    <w:p w:rsidR="00042983" w:rsidRPr="00042983" w:rsidRDefault="00042983" w:rsidP="007D77A5">
      <w:pPr>
        <w:spacing w:after="0" w:line="276" w:lineRule="auto"/>
        <w:ind w:left="720"/>
        <w:jc w:val="both"/>
        <w:rPr>
          <w:rFonts w:ascii="Arial" w:eastAsia="Calibri" w:hAnsi="Arial" w:cs="Arial"/>
          <w:bCs/>
          <w:sz w:val="24"/>
          <w:szCs w:val="24"/>
        </w:rPr>
      </w:pPr>
      <w:r w:rsidRPr="00042983">
        <w:rPr>
          <w:rFonts w:ascii="Arial" w:eastAsia="Calibri" w:hAnsi="Arial" w:cs="Arial"/>
          <w:bCs/>
          <w:sz w:val="24"/>
          <w:szCs w:val="24"/>
        </w:rPr>
        <w:t>Собранието т.е. пратениците во Собранието да го подобрат процесот на консултации со граѓанските организации во насока на приоретизирање и интегрирање на најдобриот интерес на детето и влијанието врз добростојбата на детето при развивање на секој предлог закон и секоја дискусија во рамките на Собранието.</w:t>
      </w:r>
    </w:p>
    <w:p w:rsidR="00042983" w:rsidRPr="00042983" w:rsidRDefault="00042983" w:rsidP="00042983">
      <w:pPr>
        <w:spacing w:after="0" w:line="276" w:lineRule="auto"/>
        <w:ind w:left="720"/>
        <w:jc w:val="both"/>
        <w:rPr>
          <w:rFonts w:ascii="Arial" w:eastAsia="Calibri" w:hAnsi="Arial" w:cs="Arial"/>
          <w:bCs/>
          <w:sz w:val="24"/>
          <w:szCs w:val="24"/>
        </w:rPr>
      </w:pPr>
    </w:p>
    <w:p w:rsidR="00042983" w:rsidRPr="00042983" w:rsidRDefault="00042983" w:rsidP="007D77A5">
      <w:pPr>
        <w:spacing w:after="0" w:line="276" w:lineRule="auto"/>
        <w:ind w:left="720"/>
        <w:jc w:val="both"/>
        <w:rPr>
          <w:rFonts w:ascii="Arial" w:eastAsia="Calibri" w:hAnsi="Arial" w:cs="Arial"/>
          <w:bCs/>
          <w:sz w:val="24"/>
          <w:szCs w:val="24"/>
        </w:rPr>
      </w:pPr>
      <w:r w:rsidRPr="00042983">
        <w:rPr>
          <w:rFonts w:ascii="Arial" w:eastAsia="Calibri" w:hAnsi="Arial" w:cs="Arial"/>
          <w:bCs/>
          <w:sz w:val="24"/>
          <w:szCs w:val="24"/>
        </w:rPr>
        <w:t>Политичките партии суштински да вградат мерки за подобрување на правата на детето во рамките на нивните политички изборни програми за Предвремените парламентарни избори во 2020 година.</w:t>
      </w:r>
    </w:p>
    <w:p w:rsidR="00042983" w:rsidRPr="00042983" w:rsidRDefault="00042983" w:rsidP="00042983">
      <w:pPr>
        <w:spacing w:after="0" w:line="276" w:lineRule="auto"/>
        <w:ind w:left="720"/>
        <w:jc w:val="both"/>
        <w:rPr>
          <w:rFonts w:ascii="Arial" w:eastAsia="Calibri" w:hAnsi="Arial" w:cs="Arial"/>
          <w:bCs/>
          <w:sz w:val="24"/>
          <w:szCs w:val="24"/>
        </w:rPr>
      </w:pPr>
    </w:p>
    <w:p w:rsidR="00042983" w:rsidRPr="00042983" w:rsidRDefault="00042983" w:rsidP="007D77A5">
      <w:pPr>
        <w:spacing w:after="0" w:line="276" w:lineRule="auto"/>
        <w:ind w:left="720"/>
        <w:jc w:val="both"/>
        <w:rPr>
          <w:rFonts w:ascii="Arial" w:eastAsia="Calibri" w:hAnsi="Arial" w:cs="Arial"/>
          <w:b/>
          <w:bCs/>
          <w:sz w:val="24"/>
          <w:szCs w:val="24"/>
        </w:rPr>
      </w:pPr>
      <w:r w:rsidRPr="00042983">
        <w:rPr>
          <w:rFonts w:ascii="Arial" w:eastAsia="Calibri" w:hAnsi="Arial" w:cs="Arial"/>
          <w:b/>
          <w:bCs/>
          <w:sz w:val="24"/>
          <w:szCs w:val="24"/>
        </w:rPr>
        <w:lastRenderedPageBreak/>
        <w:t>Министерството за образование и наука да го забрза процесот на подготовка и поднесување на Предлог законот за средно образование, обезбедувајќи го правото на учество и организирање на учениците по примерот на Законот за основно образование</w:t>
      </w:r>
    </w:p>
    <w:p w:rsidR="00042983" w:rsidRPr="00042983" w:rsidRDefault="00042983" w:rsidP="00042983">
      <w:pPr>
        <w:spacing w:after="0" w:line="276" w:lineRule="auto"/>
        <w:ind w:left="720"/>
        <w:jc w:val="both"/>
        <w:rPr>
          <w:rFonts w:ascii="Arial" w:eastAsia="Calibri" w:hAnsi="Arial" w:cs="Arial"/>
          <w:b/>
          <w:bCs/>
          <w:sz w:val="24"/>
          <w:szCs w:val="24"/>
        </w:rPr>
      </w:pPr>
    </w:p>
    <w:p w:rsidR="00042983" w:rsidRPr="00042983" w:rsidRDefault="00042983" w:rsidP="007D77A5">
      <w:pPr>
        <w:spacing w:after="0" w:line="276" w:lineRule="auto"/>
        <w:ind w:left="720"/>
        <w:jc w:val="both"/>
        <w:rPr>
          <w:rFonts w:ascii="Arial" w:eastAsia="Calibri" w:hAnsi="Arial" w:cs="Arial"/>
          <w:bCs/>
          <w:sz w:val="24"/>
          <w:szCs w:val="24"/>
        </w:rPr>
      </w:pPr>
      <w:r w:rsidRPr="00042983">
        <w:rPr>
          <w:rFonts w:ascii="Arial" w:eastAsia="Calibri" w:hAnsi="Arial" w:cs="Arial"/>
          <w:bCs/>
          <w:sz w:val="24"/>
          <w:szCs w:val="24"/>
        </w:rPr>
        <w:t xml:space="preserve">Министерството за труд и социјална политика да предложи измени и дополнување на Законот за семејство во насока на </w:t>
      </w:r>
      <w:r w:rsidRPr="00042983">
        <w:rPr>
          <w:rFonts w:ascii="Arial" w:eastAsia="Times New Roman" w:hAnsi="Arial" w:cs="Arial"/>
          <w:bCs/>
          <w:color w:val="000000"/>
          <w:sz w:val="24"/>
          <w:szCs w:val="24"/>
          <w:bdr w:val="none" w:sz="0" w:space="0" w:color="auto" w:frame="1"/>
        </w:rPr>
        <w:t xml:space="preserve">воведување </w:t>
      </w:r>
      <w:r w:rsidRPr="00042983">
        <w:rPr>
          <w:rFonts w:ascii="Arial" w:eastAsia="Times New Roman" w:hAnsi="Arial" w:cs="Arial"/>
          <w:bCs/>
          <w:color w:val="000000"/>
          <w:sz w:val="24"/>
          <w:szCs w:val="24"/>
        </w:rPr>
        <w:t xml:space="preserve">заедничко родителство по развод со цел да се примени </w:t>
      </w:r>
      <w:r w:rsidRPr="00042983">
        <w:rPr>
          <w:rFonts w:ascii="Arial" w:eastAsia="Times New Roman" w:hAnsi="Arial" w:cs="Arial"/>
          <w:bCs/>
          <w:color w:val="000000"/>
          <w:sz w:val="24"/>
          <w:szCs w:val="24"/>
          <w:bdr w:val="none" w:sz="0" w:space="0" w:color="auto" w:frame="1"/>
        </w:rPr>
        <w:t>правото на најдобар интерес на детето</w:t>
      </w:r>
    </w:p>
    <w:p w:rsidR="00042983" w:rsidRPr="00042983" w:rsidRDefault="00042983" w:rsidP="00042983">
      <w:pPr>
        <w:spacing w:after="0" w:line="276" w:lineRule="auto"/>
        <w:ind w:left="720"/>
        <w:rPr>
          <w:rFonts w:ascii="Arial" w:eastAsia="Calibri" w:hAnsi="Arial" w:cs="Arial"/>
          <w:b/>
          <w:bCs/>
          <w:sz w:val="24"/>
          <w:szCs w:val="24"/>
        </w:rPr>
      </w:pPr>
    </w:p>
    <w:p w:rsidR="00042983" w:rsidRPr="00042983" w:rsidRDefault="00042983" w:rsidP="00042983">
      <w:pPr>
        <w:spacing w:after="0" w:line="276" w:lineRule="auto"/>
        <w:jc w:val="both"/>
        <w:rPr>
          <w:rFonts w:ascii="Arial" w:eastAsia="Calibri" w:hAnsi="Arial" w:cs="Arial"/>
          <w:b/>
          <w:bCs/>
          <w:sz w:val="24"/>
          <w:szCs w:val="24"/>
        </w:rPr>
      </w:pPr>
    </w:p>
    <w:p w:rsidR="00042983" w:rsidRPr="00042983" w:rsidRDefault="00042983" w:rsidP="00042983">
      <w:pPr>
        <w:spacing w:after="0" w:line="276" w:lineRule="auto"/>
        <w:jc w:val="both"/>
        <w:rPr>
          <w:rFonts w:ascii="Arial" w:eastAsia="Calibri" w:hAnsi="Arial" w:cs="Arial"/>
          <w:b/>
          <w:bCs/>
          <w:sz w:val="24"/>
          <w:szCs w:val="24"/>
        </w:rPr>
      </w:pPr>
    </w:p>
    <w:p w:rsidR="007D77A5" w:rsidRPr="00042983" w:rsidRDefault="007D77A5" w:rsidP="007D77A5">
      <w:pPr>
        <w:autoSpaceDE w:val="0"/>
        <w:autoSpaceDN w:val="0"/>
        <w:adjustRightInd w:val="0"/>
        <w:spacing w:after="0" w:line="276" w:lineRule="auto"/>
        <w:jc w:val="both"/>
        <w:rPr>
          <w:rFonts w:ascii="Arial" w:eastAsia="Calibri" w:hAnsi="Arial" w:cs="Arial"/>
          <w:i/>
          <w:color w:val="000000"/>
          <w:sz w:val="24"/>
          <w:szCs w:val="24"/>
        </w:rPr>
      </w:pPr>
      <w:r w:rsidRPr="00042983">
        <w:rPr>
          <w:rFonts w:ascii="Arial" w:eastAsia="Calibri" w:hAnsi="Arial" w:cs="Arial"/>
          <w:i/>
          <w:color w:val="000000"/>
          <w:sz w:val="24"/>
          <w:szCs w:val="24"/>
        </w:rPr>
        <w:t xml:space="preserve">Овој извештај е подготвен во рамките на проектот </w:t>
      </w:r>
      <w:r w:rsidRPr="00042983">
        <w:rPr>
          <w:rFonts w:ascii="Arial" w:eastAsia="Calibri" w:hAnsi="Arial" w:cs="Arial"/>
          <w:b/>
          <w:bCs/>
          <w:i/>
          <w:color w:val="000000"/>
          <w:sz w:val="24"/>
          <w:szCs w:val="24"/>
        </w:rPr>
        <w:t>„</w:t>
      </w:r>
      <w:r w:rsidRPr="00042983">
        <w:rPr>
          <w:rFonts w:ascii="Arial" w:eastAsia="Calibri" w:hAnsi="Arial" w:cs="Arial"/>
          <w:i/>
          <w:sz w:val="24"/>
          <w:szCs w:val="24"/>
        </w:rPr>
        <w:t>Да ги земеме правата во нашите раце</w:t>
      </w:r>
      <w:r w:rsidRPr="00042983">
        <w:rPr>
          <w:rFonts w:ascii="Arial" w:eastAsia="Calibri" w:hAnsi="Arial" w:cs="Arial"/>
          <w:b/>
          <w:bCs/>
          <w:i/>
          <w:color w:val="000000"/>
          <w:sz w:val="24"/>
          <w:szCs w:val="24"/>
        </w:rPr>
        <w:t xml:space="preserve">“, </w:t>
      </w:r>
      <w:r w:rsidRPr="00042983">
        <w:rPr>
          <w:rFonts w:ascii="Arial" w:eastAsia="Calibri" w:hAnsi="Arial" w:cs="Arial"/>
          <w:i/>
          <w:color w:val="000000"/>
          <w:sz w:val="24"/>
          <w:szCs w:val="24"/>
        </w:rPr>
        <w:t xml:space="preserve">спроведуван од Првата детската амбасада во светот МЕЃАШИ </w:t>
      </w:r>
      <w:r w:rsidR="0058568B">
        <w:rPr>
          <w:rFonts w:ascii="Arial" w:eastAsia="Calibri" w:hAnsi="Arial" w:cs="Arial"/>
          <w:i/>
          <w:color w:val="000000"/>
          <w:sz w:val="24"/>
          <w:szCs w:val="24"/>
        </w:rPr>
        <w:t>во партнерство со</w:t>
      </w:r>
      <w:r w:rsidRPr="00042983">
        <w:rPr>
          <w:rFonts w:ascii="Arial" w:eastAsia="Calibri" w:hAnsi="Arial" w:cs="Arial"/>
          <w:i/>
          <w:color w:val="000000"/>
          <w:sz w:val="24"/>
          <w:szCs w:val="24"/>
        </w:rPr>
        <w:t xml:space="preserve"> </w:t>
      </w:r>
      <w:r w:rsidRPr="00042983">
        <w:rPr>
          <w:rFonts w:ascii="Arial" w:eastAsia="Calibri" w:hAnsi="Arial" w:cs="Arial"/>
          <w:i/>
          <w:color w:val="000000"/>
          <w:sz w:val="24"/>
          <w:szCs w:val="24"/>
          <w:lang w:val="en-US"/>
        </w:rPr>
        <w:t>Save The Children</w:t>
      </w:r>
      <w:r w:rsidRPr="00042983">
        <w:rPr>
          <w:rFonts w:ascii="Arial" w:eastAsia="Calibri" w:hAnsi="Arial" w:cs="Arial"/>
          <w:i/>
          <w:color w:val="000000"/>
          <w:sz w:val="24"/>
          <w:szCs w:val="24"/>
        </w:rPr>
        <w:t>. Проектот се спроведува во периодот од август 2017 – декември 2021 година и има за цел да поддржи креирање на респонзивни системи за детска заштита следени од силна легислатива и воспоставени структури и механизми за соодветна примена на детските права.</w:t>
      </w:r>
    </w:p>
    <w:p w:rsidR="007D77A5" w:rsidRPr="00042983" w:rsidRDefault="007D77A5" w:rsidP="007D77A5">
      <w:pPr>
        <w:shd w:val="clear" w:color="auto" w:fill="FFFFFF"/>
        <w:spacing w:after="0" w:line="276" w:lineRule="auto"/>
        <w:jc w:val="both"/>
        <w:rPr>
          <w:rFonts w:ascii="Arial" w:eastAsia="Times New Roman" w:hAnsi="Arial" w:cs="Arial"/>
          <w:i/>
          <w:color w:val="222222"/>
          <w:sz w:val="24"/>
          <w:szCs w:val="24"/>
          <w:lang w:val="en-US"/>
        </w:rPr>
      </w:pPr>
      <w:r w:rsidRPr="00042983">
        <w:rPr>
          <w:rFonts w:ascii="Arial" w:eastAsia="Times New Roman" w:hAnsi="Arial" w:cs="Arial"/>
          <w:i/>
          <w:color w:val="222222"/>
          <w:sz w:val="24"/>
          <w:szCs w:val="24"/>
          <w:lang w:val="en-US"/>
        </w:rPr>
        <w:t> </w:t>
      </w:r>
    </w:p>
    <w:p w:rsidR="00E62978" w:rsidRPr="007D77A5" w:rsidRDefault="00E62978" w:rsidP="00042983">
      <w:pPr>
        <w:rPr>
          <w:rFonts w:ascii="Arial" w:hAnsi="Arial" w:cs="Arial"/>
          <w:i/>
          <w:sz w:val="24"/>
          <w:szCs w:val="24"/>
          <w:lang w:val="en-US"/>
        </w:rPr>
      </w:pPr>
    </w:p>
    <w:sectPr w:rsidR="00E62978" w:rsidRPr="007D77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7E5" w:rsidRDefault="003C07E5" w:rsidP="00042983">
      <w:pPr>
        <w:spacing w:after="0" w:line="240" w:lineRule="auto"/>
      </w:pPr>
      <w:r>
        <w:separator/>
      </w:r>
    </w:p>
  </w:endnote>
  <w:endnote w:type="continuationSeparator" w:id="0">
    <w:p w:rsidR="003C07E5" w:rsidRDefault="003C07E5" w:rsidP="00042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7E5" w:rsidRDefault="003C07E5" w:rsidP="00042983">
      <w:pPr>
        <w:spacing w:after="0" w:line="240" w:lineRule="auto"/>
      </w:pPr>
      <w:r>
        <w:separator/>
      </w:r>
    </w:p>
  </w:footnote>
  <w:footnote w:type="continuationSeparator" w:id="0">
    <w:p w:rsidR="003C07E5" w:rsidRDefault="003C07E5" w:rsidP="000429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7A80"/>
    <w:multiLevelType w:val="multilevel"/>
    <w:tmpl w:val="FBDE21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C116E66"/>
    <w:multiLevelType w:val="hybridMultilevel"/>
    <w:tmpl w:val="2BE2E9F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0C4A05"/>
    <w:multiLevelType w:val="hybridMultilevel"/>
    <w:tmpl w:val="DD826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9F5875"/>
    <w:multiLevelType w:val="hybridMultilevel"/>
    <w:tmpl w:val="94FE73A6"/>
    <w:lvl w:ilvl="0" w:tplc="EDB4C6A0">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83"/>
    <w:rsid w:val="00042983"/>
    <w:rsid w:val="000E3185"/>
    <w:rsid w:val="00151D11"/>
    <w:rsid w:val="0019317C"/>
    <w:rsid w:val="0023727F"/>
    <w:rsid w:val="003C07E5"/>
    <w:rsid w:val="00484F6B"/>
    <w:rsid w:val="004B6F7E"/>
    <w:rsid w:val="0058568B"/>
    <w:rsid w:val="0079138D"/>
    <w:rsid w:val="007B19DF"/>
    <w:rsid w:val="007D77A5"/>
    <w:rsid w:val="007E0A53"/>
    <w:rsid w:val="00D0758C"/>
    <w:rsid w:val="00D8016F"/>
    <w:rsid w:val="00E15C22"/>
    <w:rsid w:val="00E6297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2983"/>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042983"/>
    <w:rPr>
      <w:rFonts w:ascii="Calibri" w:eastAsia="Calibri" w:hAnsi="Calibri" w:cs="Times New Roman"/>
      <w:sz w:val="20"/>
      <w:szCs w:val="20"/>
      <w:lang w:val="en-US"/>
    </w:rPr>
  </w:style>
  <w:style w:type="character" w:styleId="FootnoteReference">
    <w:name w:val="footnote reference"/>
    <w:uiPriority w:val="99"/>
    <w:semiHidden/>
    <w:unhideWhenUsed/>
    <w:rsid w:val="00042983"/>
    <w:rPr>
      <w:vertAlign w:val="superscript"/>
    </w:rPr>
  </w:style>
  <w:style w:type="character" w:styleId="Hyperlink">
    <w:name w:val="Hyperlink"/>
    <w:basedOn w:val="DefaultParagraphFont"/>
    <w:uiPriority w:val="99"/>
    <w:semiHidden/>
    <w:unhideWhenUsed/>
    <w:rsid w:val="007B19DF"/>
    <w:rPr>
      <w:color w:val="0000FF"/>
      <w:u w:val="single"/>
    </w:rPr>
  </w:style>
  <w:style w:type="paragraph" w:styleId="BalloonText">
    <w:name w:val="Balloon Text"/>
    <w:basedOn w:val="Normal"/>
    <w:link w:val="BalloonTextChar"/>
    <w:uiPriority w:val="99"/>
    <w:semiHidden/>
    <w:unhideWhenUsed/>
    <w:rsid w:val="0019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2983"/>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042983"/>
    <w:rPr>
      <w:rFonts w:ascii="Calibri" w:eastAsia="Calibri" w:hAnsi="Calibri" w:cs="Times New Roman"/>
      <w:sz w:val="20"/>
      <w:szCs w:val="20"/>
      <w:lang w:val="en-US"/>
    </w:rPr>
  </w:style>
  <w:style w:type="character" w:styleId="FootnoteReference">
    <w:name w:val="footnote reference"/>
    <w:uiPriority w:val="99"/>
    <w:semiHidden/>
    <w:unhideWhenUsed/>
    <w:rsid w:val="00042983"/>
    <w:rPr>
      <w:vertAlign w:val="superscript"/>
    </w:rPr>
  </w:style>
  <w:style w:type="character" w:styleId="Hyperlink">
    <w:name w:val="Hyperlink"/>
    <w:basedOn w:val="DefaultParagraphFont"/>
    <w:uiPriority w:val="99"/>
    <w:semiHidden/>
    <w:unhideWhenUsed/>
    <w:rsid w:val="007B19DF"/>
    <w:rPr>
      <w:color w:val="0000FF"/>
      <w:u w:val="single"/>
    </w:rPr>
  </w:style>
  <w:style w:type="paragraph" w:styleId="BalloonText">
    <w:name w:val="Balloon Text"/>
    <w:basedOn w:val="Normal"/>
    <w:link w:val="BalloonTextChar"/>
    <w:uiPriority w:val="99"/>
    <w:semiHidden/>
    <w:unhideWhenUsed/>
    <w:rsid w:val="0019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ildrensembassy.org.mk/periodicen-izveshtaj-za-zastapenosta-na-detskite-prava-vo-rabotata-na-sobranieto-na-rs-makedonija.n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Pirkovska Zmijanac</dc:creator>
  <cp:lastModifiedBy>Maja Зенковиќ</cp:lastModifiedBy>
  <cp:revision>2</cp:revision>
  <dcterms:created xsi:type="dcterms:W3CDTF">2020-01-22T08:14:00Z</dcterms:created>
  <dcterms:modified xsi:type="dcterms:W3CDTF">2020-01-22T08:14:00Z</dcterms:modified>
</cp:coreProperties>
</file>