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93322D" w:rsidP="00F45AA1">
      <w:pPr>
        <w:jc w:val="center"/>
        <w:rPr>
          <w:b/>
        </w:rPr>
      </w:pPr>
      <w:r>
        <w:rPr>
          <w:b/>
        </w:rPr>
        <w:t>ЈАНУАРИ</w:t>
      </w:r>
      <w:r w:rsidR="00F45AA1">
        <w:rPr>
          <w:b/>
        </w:rPr>
        <w:t xml:space="preserve"> 20</w:t>
      </w:r>
      <w:r>
        <w:rPr>
          <w:b/>
        </w:rPr>
        <w:t>2</w:t>
      </w:r>
      <w:r w:rsidR="00B82893">
        <w:rPr>
          <w:b/>
          <w:lang w:val="en-US"/>
        </w:rPr>
        <w:t>2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F95ACD" w:rsidRDefault="00F95ACD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D92C48" w:rsidRDefault="00D92C48" w:rsidP="008A4075">
      <w:pPr>
        <w:spacing w:after="0" w:line="240" w:lineRule="auto"/>
        <w:rPr>
          <w:b/>
        </w:rPr>
      </w:pPr>
    </w:p>
    <w:p w:rsidR="00D92C48" w:rsidRDefault="00D92C48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224CFE" w:rsidRDefault="0093322D" w:rsidP="00224C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</w:t>
            </w:r>
            <w:r w:rsidR="00224CFE">
              <w:rPr>
                <w:b/>
                <w:lang w:val="en-US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224CFE">
              <w:rPr>
                <w:b/>
              </w:rPr>
              <w:t>работните односи</w:t>
            </w:r>
            <w:r w:rsidR="00B9291E">
              <w:t xml:space="preserve"> </w:t>
            </w:r>
            <w:r>
              <w:rPr>
                <w:b/>
              </w:rPr>
              <w:br/>
            </w:r>
            <w:r w:rsidR="00EB4214">
              <w:t>(</w:t>
            </w:r>
            <w:r w:rsidR="00224CFE">
              <w:t>закон за изменување и дополнување, „Службен весник на Република Северна Македонија“ бр. 288/2021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93322D" w:rsidP="00224CFE">
            <w:pPr>
              <w:rPr>
                <w:sz w:val="18"/>
                <w:szCs w:val="18"/>
              </w:rPr>
            </w:pPr>
            <w:r w:rsidRPr="0093322D">
              <w:rPr>
                <w:sz w:val="18"/>
                <w:szCs w:val="18"/>
              </w:rPr>
              <w:t xml:space="preserve">Член </w:t>
            </w:r>
            <w:r w:rsidR="00224CFE">
              <w:rPr>
                <w:sz w:val="18"/>
                <w:szCs w:val="18"/>
              </w:rPr>
              <w:t>6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 w:rsidR="00224CFE">
              <w:rPr>
                <w:sz w:val="18"/>
                <w:szCs w:val="18"/>
              </w:rPr>
              <w:t xml:space="preserve"> за изменување и дополнување</w:t>
            </w:r>
            <w:r w:rsidRPr="0093322D">
              <w:rPr>
                <w:sz w:val="18"/>
                <w:szCs w:val="18"/>
              </w:rPr>
              <w:t>, кој се однесува на следниве одредби:</w:t>
            </w:r>
            <w:r w:rsidRPr="0093322D">
              <w:rPr>
                <w:sz w:val="18"/>
                <w:szCs w:val="18"/>
              </w:rPr>
              <w:br/>
              <w:t xml:space="preserve">- член </w:t>
            </w:r>
            <w:r w:rsidR="00224CFE">
              <w:rPr>
                <w:sz w:val="18"/>
                <w:szCs w:val="18"/>
              </w:rPr>
              <w:t>106, став 3;</w:t>
            </w:r>
          </w:p>
          <w:p w:rsidR="00224CFE" w:rsidRDefault="00224CFE" w:rsidP="00224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 134, ставови 2 до 9;</w:t>
            </w:r>
          </w:p>
          <w:p w:rsidR="00224CFE" w:rsidRDefault="00224CFE" w:rsidP="00224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 259-б.</w:t>
            </w:r>
          </w:p>
          <w:p w:rsidR="00224CFE" w:rsidRPr="0093322D" w:rsidRDefault="00224CFE" w:rsidP="00224CFE">
            <w:pPr>
              <w:rPr>
                <w:sz w:val="18"/>
                <w:szCs w:val="18"/>
              </w:rPr>
            </w:pPr>
          </w:p>
        </w:tc>
      </w:tr>
      <w:tr w:rsidR="0093322D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3322D" w:rsidRPr="00A32803" w:rsidRDefault="0093322D" w:rsidP="00224C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</w:t>
            </w:r>
            <w:r w:rsidR="00224CFE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3322D" w:rsidRDefault="0093322D" w:rsidP="00202366">
            <w:r>
              <w:rPr>
                <w:b/>
              </w:rPr>
              <w:t xml:space="preserve">Закон за </w:t>
            </w:r>
            <w:r w:rsidR="00224CFE">
              <w:rPr>
                <w:b/>
              </w:rPr>
              <w:t>управување со пакување и отпад од пакување</w:t>
            </w:r>
            <w:r>
              <w:t xml:space="preserve"> </w:t>
            </w:r>
            <w:r>
              <w:rPr>
                <w:b/>
              </w:rPr>
              <w:br/>
            </w:r>
            <w:r>
              <w:t>(</w:t>
            </w:r>
            <w:r w:rsidR="00224CFE">
              <w:t>основен закон</w:t>
            </w:r>
            <w:r>
              <w:t xml:space="preserve">, „Службен весник на Република Северна Македонија“ бр. </w:t>
            </w:r>
            <w:r w:rsidR="00224CFE">
              <w:t>215</w:t>
            </w:r>
            <w:r>
              <w:t>/20</w:t>
            </w:r>
            <w:r w:rsidR="00224CFE">
              <w:t>21</w:t>
            </w:r>
            <w:r>
              <w:t>)</w:t>
            </w:r>
          </w:p>
          <w:p w:rsidR="0093322D" w:rsidRPr="006E61E4" w:rsidRDefault="0093322D" w:rsidP="0020236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3322D" w:rsidRPr="00A13039" w:rsidRDefault="0093322D" w:rsidP="00224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224CFE">
              <w:rPr>
                <w:sz w:val="18"/>
                <w:szCs w:val="18"/>
              </w:rPr>
              <w:t>56</w:t>
            </w:r>
            <w:r w:rsidRPr="0093322D">
              <w:rPr>
                <w:sz w:val="18"/>
                <w:szCs w:val="18"/>
              </w:rPr>
              <w:t xml:space="preserve"> од Законот,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 xml:space="preserve">- член </w:t>
            </w:r>
            <w:r w:rsidR="00224CFE">
              <w:rPr>
                <w:sz w:val="18"/>
                <w:szCs w:val="18"/>
              </w:rPr>
              <w:t>35</w:t>
            </w:r>
            <w:r w:rsidRPr="0093322D">
              <w:rPr>
                <w:sz w:val="18"/>
                <w:szCs w:val="18"/>
              </w:rPr>
              <w:t>.</w:t>
            </w:r>
          </w:p>
        </w:tc>
      </w:tr>
      <w:tr w:rsidR="00876A7E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76A7E" w:rsidRPr="00A32803" w:rsidRDefault="00876A7E" w:rsidP="00D46D4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</w:t>
            </w:r>
            <w:r w:rsidR="00D46D4F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76A7E" w:rsidRDefault="00D46D4F" w:rsidP="00202366">
            <w:r w:rsidRPr="00D46D4F">
              <w:rPr>
                <w:b/>
              </w:rPr>
              <w:t>Закон за управување со електрична и електронска опрема и отпадна електрична и електронска опрема</w:t>
            </w:r>
            <w:r w:rsidR="00876A7E">
              <w:rPr>
                <w:b/>
              </w:rPr>
              <w:br/>
            </w:r>
            <w:r w:rsidR="00876A7E">
              <w:t>(</w:t>
            </w:r>
            <w:r>
              <w:t xml:space="preserve">основен </w:t>
            </w:r>
            <w:r w:rsidR="00876A7E">
              <w:t>закон, „Службен весни</w:t>
            </w:r>
            <w:r w:rsidR="002C2551">
              <w:t xml:space="preserve">к на Република Северна Македонија“ бр. </w:t>
            </w:r>
            <w:r>
              <w:t>176</w:t>
            </w:r>
            <w:r w:rsidR="00876A7E">
              <w:t>/20</w:t>
            </w:r>
            <w:r>
              <w:t>21</w:t>
            </w:r>
            <w:r w:rsidR="00876A7E">
              <w:t>)</w:t>
            </w:r>
          </w:p>
          <w:p w:rsidR="00876A7E" w:rsidRPr="006E61E4" w:rsidRDefault="00876A7E" w:rsidP="0020236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76A7E" w:rsidRPr="00A13039" w:rsidRDefault="002C2551" w:rsidP="00D46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D46D4F">
              <w:rPr>
                <w:sz w:val="18"/>
                <w:szCs w:val="18"/>
              </w:rPr>
              <w:t>60</w:t>
            </w:r>
            <w:r w:rsidR="00876A7E" w:rsidRPr="0093322D">
              <w:rPr>
                <w:sz w:val="18"/>
                <w:szCs w:val="18"/>
              </w:rPr>
              <w:t xml:space="preserve"> од Законот, кој се однесув</w:t>
            </w:r>
            <w:r w:rsidR="00876A7E">
              <w:rPr>
                <w:sz w:val="18"/>
                <w:szCs w:val="18"/>
              </w:rPr>
              <w:t>а на следниве одредби:</w:t>
            </w:r>
            <w:r w:rsidR="00876A7E">
              <w:rPr>
                <w:sz w:val="18"/>
                <w:szCs w:val="18"/>
              </w:rPr>
              <w:br/>
              <w:t xml:space="preserve">- </w:t>
            </w:r>
            <w:r>
              <w:rPr>
                <w:sz w:val="18"/>
                <w:szCs w:val="18"/>
              </w:rPr>
              <w:t xml:space="preserve">член </w:t>
            </w:r>
            <w:r w:rsidR="00D46D4F">
              <w:rPr>
                <w:sz w:val="18"/>
                <w:szCs w:val="18"/>
              </w:rPr>
              <w:t>36</w:t>
            </w:r>
            <w:r w:rsidR="00876A7E" w:rsidRPr="0093322D">
              <w:rPr>
                <w:sz w:val="18"/>
                <w:szCs w:val="18"/>
              </w:rPr>
              <w:t>.</w:t>
            </w:r>
          </w:p>
        </w:tc>
      </w:tr>
      <w:tr w:rsidR="00C61794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61794" w:rsidRPr="00A32803" w:rsidRDefault="00C61794" w:rsidP="007F3B0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</w:t>
            </w:r>
            <w:r w:rsidR="007F3B03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61794" w:rsidRDefault="007F3B03" w:rsidP="00895C44">
            <w:r w:rsidRPr="007F3B03">
              <w:rPr>
                <w:b/>
              </w:rPr>
              <w:t>Закон за управување со батерии и акумулатори и отпадни батерии и акумулатори</w:t>
            </w:r>
            <w:r w:rsidR="00C61794">
              <w:rPr>
                <w:b/>
              </w:rPr>
              <w:br/>
            </w:r>
            <w:r w:rsidR="00C61794">
              <w:t>(</w:t>
            </w:r>
            <w:r>
              <w:t>основен закон, „Службен весник на Република Северна Македонија“ бр. 176/2021</w:t>
            </w:r>
            <w:r w:rsidR="00C61794">
              <w:t>)</w:t>
            </w:r>
          </w:p>
          <w:p w:rsidR="00C61794" w:rsidRPr="006E61E4" w:rsidRDefault="00C61794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61794" w:rsidRDefault="00122D7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F3B03">
              <w:rPr>
                <w:sz w:val="18"/>
                <w:szCs w:val="18"/>
              </w:rPr>
              <w:t>57</w:t>
            </w:r>
            <w:r w:rsidR="00C61794" w:rsidRPr="0093322D">
              <w:rPr>
                <w:sz w:val="18"/>
                <w:szCs w:val="18"/>
              </w:rPr>
              <w:t xml:space="preserve"> од Законот, кој се однесув</w:t>
            </w:r>
            <w:r w:rsidR="00C61794">
              <w:rPr>
                <w:sz w:val="18"/>
                <w:szCs w:val="18"/>
              </w:rPr>
              <w:t>а на следниве одредби:</w:t>
            </w:r>
            <w:r w:rsidR="00C61794">
              <w:rPr>
                <w:sz w:val="18"/>
                <w:szCs w:val="18"/>
              </w:rPr>
              <w:br/>
              <w:t xml:space="preserve">- </w:t>
            </w:r>
            <w:r>
              <w:rPr>
                <w:sz w:val="18"/>
                <w:szCs w:val="18"/>
              </w:rPr>
              <w:t xml:space="preserve">член </w:t>
            </w:r>
            <w:r w:rsidR="007F3B03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.</w:t>
            </w:r>
          </w:p>
          <w:p w:rsidR="00C61794" w:rsidRPr="00A13039" w:rsidRDefault="00C61794" w:rsidP="00895C44">
            <w:pPr>
              <w:rPr>
                <w:sz w:val="18"/>
                <w:szCs w:val="18"/>
              </w:rPr>
            </w:pPr>
          </w:p>
        </w:tc>
      </w:tr>
      <w:tr w:rsidR="005F1768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F1768" w:rsidRPr="00A32803" w:rsidRDefault="005F1768" w:rsidP="007F3B0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</w:t>
            </w:r>
            <w:r w:rsidR="007F3B03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F1768" w:rsidRDefault="005F1768" w:rsidP="00895C44">
            <w:r>
              <w:rPr>
                <w:b/>
              </w:rPr>
              <w:t xml:space="preserve">Закон за </w:t>
            </w:r>
            <w:r w:rsidR="007F3B03">
              <w:rPr>
                <w:b/>
              </w:rPr>
              <w:t>фитофармација</w:t>
            </w:r>
            <w:r>
              <w:t xml:space="preserve"> </w:t>
            </w:r>
            <w:r>
              <w:rPr>
                <w:b/>
              </w:rPr>
              <w:br/>
            </w:r>
            <w:r>
              <w:t>(</w:t>
            </w:r>
            <w:r w:rsidR="007F3B03">
              <w:t>основен закон, „Службен весник на Република Северна Македонија“ бр. 302/2020</w:t>
            </w:r>
            <w:r>
              <w:t>)</w:t>
            </w:r>
          </w:p>
          <w:p w:rsidR="005F1768" w:rsidRPr="006E61E4" w:rsidRDefault="005F1768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F1768" w:rsidRDefault="005F1768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F3B03">
              <w:rPr>
                <w:sz w:val="18"/>
                <w:szCs w:val="18"/>
              </w:rPr>
              <w:t>78, став 2</w:t>
            </w:r>
            <w:r w:rsidRPr="0093322D">
              <w:rPr>
                <w:sz w:val="18"/>
                <w:szCs w:val="18"/>
              </w:rPr>
              <w:t xml:space="preserve"> од Законот,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 xml:space="preserve">член </w:t>
            </w:r>
            <w:r w:rsidR="007F3B03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;</w:t>
            </w:r>
          </w:p>
          <w:p w:rsidR="005F1768" w:rsidRDefault="005F1768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057BF">
              <w:rPr>
                <w:sz w:val="18"/>
                <w:szCs w:val="18"/>
              </w:rPr>
              <w:t xml:space="preserve">член </w:t>
            </w:r>
            <w:r w:rsidR="007F3B03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 xml:space="preserve">- </w:t>
            </w:r>
            <w:r w:rsidR="007F3B03">
              <w:rPr>
                <w:sz w:val="18"/>
                <w:szCs w:val="18"/>
              </w:rPr>
              <w:t>член 46</w:t>
            </w:r>
            <w:r>
              <w:rPr>
                <w:sz w:val="18"/>
                <w:szCs w:val="18"/>
              </w:rPr>
              <w:t>;</w:t>
            </w:r>
            <w:r w:rsidRPr="000057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 xml:space="preserve">член </w:t>
            </w:r>
            <w:r w:rsidR="007F3B03">
              <w:rPr>
                <w:sz w:val="18"/>
                <w:szCs w:val="18"/>
              </w:rPr>
              <w:t>47.</w:t>
            </w:r>
          </w:p>
          <w:p w:rsidR="005F1768" w:rsidRPr="00A13039" w:rsidRDefault="005F1768" w:rsidP="00895C44">
            <w:pPr>
              <w:rPr>
                <w:sz w:val="18"/>
                <w:szCs w:val="18"/>
              </w:rPr>
            </w:pPr>
          </w:p>
        </w:tc>
      </w:tr>
      <w:tr w:rsidR="00C040C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040C3" w:rsidRPr="00A32803" w:rsidRDefault="00C040C3" w:rsidP="00B45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</w:t>
            </w:r>
            <w:r w:rsidR="00B4542B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040C3" w:rsidRDefault="00C040C3" w:rsidP="00895C44">
            <w:r>
              <w:rPr>
                <w:b/>
              </w:rPr>
              <w:t xml:space="preserve">Закон за </w:t>
            </w:r>
            <w:r w:rsidR="00B4542B">
              <w:rPr>
                <w:b/>
              </w:rPr>
              <w:t>Агенција за национална безбедност</w:t>
            </w:r>
            <w:r>
              <w:t xml:space="preserve"> </w:t>
            </w:r>
            <w:r>
              <w:rPr>
                <w:b/>
              </w:rPr>
              <w:br/>
            </w:r>
            <w:r>
              <w:t>(</w:t>
            </w:r>
            <w:r w:rsidR="007A79A8">
              <w:t>основен закон, „Службен весник на Република Северна Македонија“ бр. 108/2019</w:t>
            </w:r>
            <w:r>
              <w:t>)</w:t>
            </w:r>
          </w:p>
          <w:p w:rsidR="00C040C3" w:rsidRPr="006E61E4" w:rsidRDefault="00C040C3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040C3" w:rsidRDefault="00C040C3" w:rsidP="007A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A79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7A79A8">
              <w:rPr>
                <w:sz w:val="18"/>
                <w:szCs w:val="18"/>
              </w:rPr>
              <w:t>3</w:t>
            </w:r>
            <w:r w:rsidRPr="0093322D">
              <w:rPr>
                <w:sz w:val="18"/>
                <w:szCs w:val="18"/>
              </w:rPr>
              <w:t xml:space="preserve"> од Законот,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</w:t>
            </w:r>
            <w:r w:rsidR="007A79A8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.</w:t>
            </w:r>
          </w:p>
          <w:p w:rsidR="00C040C3" w:rsidRPr="00A13039" w:rsidRDefault="00C040C3" w:rsidP="00895C44">
            <w:pPr>
              <w:rPr>
                <w:sz w:val="18"/>
                <w:szCs w:val="18"/>
              </w:rPr>
            </w:pPr>
          </w:p>
        </w:tc>
      </w:tr>
      <w:tr w:rsidR="004B1F02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B1F02" w:rsidRPr="00A32803" w:rsidRDefault="004B1F02" w:rsidP="00F6207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01.01.202</w:t>
            </w:r>
            <w:r w:rsidR="00F62077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B1F02" w:rsidRDefault="004B1F02" w:rsidP="00895C44">
            <w:r>
              <w:rPr>
                <w:b/>
              </w:rPr>
              <w:t xml:space="preserve">Закон за </w:t>
            </w:r>
            <w:r w:rsidR="007A79A8">
              <w:rPr>
                <w:b/>
              </w:rPr>
              <w:t>услуги</w:t>
            </w:r>
            <w:r>
              <w:t xml:space="preserve"> </w:t>
            </w:r>
            <w:r>
              <w:rPr>
                <w:b/>
              </w:rPr>
              <w:br/>
            </w:r>
            <w:r>
              <w:t>(</w:t>
            </w:r>
            <w:r w:rsidR="007A79A8">
              <w:t>основен закон, „Службен весник на Република Северна Македонија“ бр. 98/2019</w:t>
            </w:r>
            <w:r>
              <w:t>)</w:t>
            </w:r>
          </w:p>
          <w:p w:rsidR="004B1F02" w:rsidRPr="006E61E4" w:rsidRDefault="004B1F02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277B5" w:rsidRDefault="004B1F02" w:rsidP="0032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A79A8">
              <w:rPr>
                <w:sz w:val="18"/>
                <w:szCs w:val="18"/>
              </w:rPr>
              <w:t>38</w:t>
            </w:r>
            <w:r w:rsidRPr="0093322D">
              <w:rPr>
                <w:sz w:val="18"/>
                <w:szCs w:val="18"/>
              </w:rPr>
              <w:t xml:space="preserve"> од Законот,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 xml:space="preserve">- </w:t>
            </w:r>
            <w:r w:rsidR="003277B5">
              <w:rPr>
                <w:sz w:val="18"/>
                <w:szCs w:val="18"/>
              </w:rPr>
              <w:t xml:space="preserve">член </w:t>
            </w:r>
            <w:r w:rsidR="007A79A8">
              <w:rPr>
                <w:sz w:val="18"/>
                <w:szCs w:val="18"/>
              </w:rPr>
              <w:t>6, ставови 2, 3 и 4</w:t>
            </w:r>
            <w:r w:rsidR="003277B5">
              <w:rPr>
                <w:sz w:val="18"/>
                <w:szCs w:val="18"/>
              </w:rPr>
              <w:t>;</w:t>
            </w:r>
          </w:p>
          <w:p w:rsidR="004B1F02" w:rsidRDefault="003277B5" w:rsidP="007A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E5919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</w:t>
            </w:r>
            <w:r w:rsidR="007A79A8">
              <w:rPr>
                <w:sz w:val="18"/>
                <w:szCs w:val="18"/>
              </w:rPr>
              <w:t>7</w:t>
            </w:r>
            <w:r w:rsidR="004B1F02">
              <w:rPr>
                <w:sz w:val="18"/>
                <w:szCs w:val="18"/>
              </w:rPr>
              <w:t>.</w:t>
            </w:r>
          </w:p>
          <w:p w:rsidR="004B1F02" w:rsidRPr="00A13039" w:rsidRDefault="004B1F02" w:rsidP="00895C44">
            <w:pPr>
              <w:rPr>
                <w:sz w:val="18"/>
                <w:szCs w:val="18"/>
              </w:rPr>
            </w:pPr>
          </w:p>
        </w:tc>
      </w:tr>
      <w:tr w:rsidR="00FB6162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B6162" w:rsidRPr="00A32803" w:rsidRDefault="00F62077" w:rsidP="00F6207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FB6162">
              <w:rPr>
                <w:b/>
              </w:rPr>
              <w:t>1.01.202</w:t>
            </w:r>
            <w:r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B6162" w:rsidRDefault="00FB6162" w:rsidP="00895C44">
            <w:r>
              <w:rPr>
                <w:b/>
              </w:rPr>
              <w:t xml:space="preserve">Закон за </w:t>
            </w:r>
            <w:r w:rsidR="00F62077">
              <w:rPr>
                <w:b/>
              </w:rPr>
              <w:t>акцизите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</w:t>
            </w:r>
            <w:r w:rsidR="00F62077">
              <w:t xml:space="preserve"> за изменување и дополнување</w:t>
            </w:r>
            <w:r>
              <w:t xml:space="preserve">, „Службен весник на Република Северна Македонија“ бр. </w:t>
            </w:r>
            <w:r w:rsidR="00F62077">
              <w:t>77</w:t>
            </w:r>
            <w:r>
              <w:t>/202</w:t>
            </w:r>
            <w:r w:rsidR="00F62077">
              <w:t>1</w:t>
            </w:r>
            <w:r>
              <w:t>)</w:t>
            </w:r>
          </w:p>
          <w:p w:rsidR="00FB6162" w:rsidRPr="006E61E4" w:rsidRDefault="00FB6162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62077" w:rsidRDefault="00F62077" w:rsidP="00F62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изменување и дополнување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>- член 56, ставови 5 и 6;</w:t>
            </w:r>
          </w:p>
          <w:p w:rsidR="00FB6162" w:rsidRDefault="00F62077" w:rsidP="00F62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 92, став 3, точки 6, 7, и 8.</w:t>
            </w:r>
          </w:p>
        </w:tc>
      </w:tr>
      <w:tr w:rsidR="00F62077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2077" w:rsidRPr="00A32803" w:rsidRDefault="00F62077" w:rsidP="000033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62077" w:rsidRDefault="00F62077" w:rsidP="0000334D">
            <w:r>
              <w:rPr>
                <w:b/>
              </w:rPr>
              <w:t>Закон за даноците на имот</w:t>
            </w:r>
            <w:r>
              <w:t xml:space="preserve"> </w:t>
            </w:r>
            <w:r>
              <w:rPr>
                <w:b/>
              </w:rPr>
              <w:br/>
            </w:r>
            <w:r>
              <w:t xml:space="preserve">(закон за изменување и дополнување, „Службен весник на Република Северна Македонија“ бр. </w:t>
            </w:r>
            <w:r w:rsidR="00882D93">
              <w:t>151</w:t>
            </w:r>
            <w:r>
              <w:t>/2021)</w:t>
            </w:r>
          </w:p>
          <w:p w:rsidR="00F62077" w:rsidRPr="006E61E4" w:rsidRDefault="00F62077" w:rsidP="0000334D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62077" w:rsidRDefault="00F62077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82D93">
              <w:rPr>
                <w:sz w:val="18"/>
                <w:szCs w:val="18"/>
              </w:rPr>
              <w:t>9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изменување и дополнување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>- член 5, став</w:t>
            </w:r>
            <w:r w:rsidR="00882D93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;</w:t>
            </w:r>
          </w:p>
          <w:p w:rsidR="00F62077" w:rsidRDefault="00F62077" w:rsidP="00882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 6.</w:t>
            </w:r>
          </w:p>
        </w:tc>
      </w:tr>
      <w:tr w:rsidR="000767ED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767ED" w:rsidRPr="00A32803" w:rsidRDefault="000767ED" w:rsidP="000033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767ED" w:rsidRDefault="000767ED" w:rsidP="0000334D">
            <w:r>
              <w:rPr>
                <w:b/>
              </w:rPr>
              <w:t>Закон за енергетика</w:t>
            </w:r>
            <w:r>
              <w:t xml:space="preserve"> </w:t>
            </w:r>
            <w:r>
              <w:rPr>
                <w:b/>
              </w:rPr>
              <w:br/>
            </w:r>
            <w:r>
              <w:t>(„Службен весник на Република Македонија“ бр. 96/2018)</w:t>
            </w:r>
          </w:p>
          <w:p w:rsidR="000767ED" w:rsidRPr="006E61E4" w:rsidRDefault="000767ED" w:rsidP="0000334D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767ED" w:rsidRDefault="000767ED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241</w:t>
            </w:r>
            <w:r w:rsidRPr="0093322D">
              <w:rPr>
                <w:sz w:val="18"/>
                <w:szCs w:val="18"/>
              </w:rPr>
              <w:t xml:space="preserve"> од Законот,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>- член 179;</w:t>
            </w:r>
          </w:p>
          <w:p w:rsidR="000767ED" w:rsidRDefault="000767ED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E5919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181.</w:t>
            </w:r>
          </w:p>
          <w:p w:rsidR="000767ED" w:rsidRPr="00A13039" w:rsidRDefault="000767ED" w:rsidP="0000334D">
            <w:pPr>
              <w:rPr>
                <w:sz w:val="18"/>
                <w:szCs w:val="18"/>
              </w:rPr>
            </w:pPr>
          </w:p>
        </w:tc>
      </w:tr>
      <w:tr w:rsidR="008B7BF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B7BF6" w:rsidRPr="00A32803" w:rsidRDefault="008B7BF6" w:rsidP="000033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B7BF6" w:rsidRDefault="008B7BF6" w:rsidP="0000334D">
            <w:r w:rsidRPr="008B7BF6">
              <w:rPr>
                <w:b/>
              </w:rPr>
              <w:t>Закон за приватизација и закуп на градежно земјиште во државна сопственост</w:t>
            </w:r>
            <w:r>
              <w:rPr>
                <w:b/>
              </w:rPr>
              <w:br/>
            </w:r>
            <w:r>
              <w:t>(закон за изменување, „Службен весник на Република Македонија“ бр. 120/2018)</w:t>
            </w:r>
          </w:p>
          <w:p w:rsidR="008B7BF6" w:rsidRPr="006E61E4" w:rsidRDefault="008B7BF6" w:rsidP="0000334D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изменување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 xml:space="preserve">- член </w:t>
            </w:r>
            <w:r w:rsidRPr="008B7BF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8B7BF6">
              <w:rPr>
                <w:sz w:val="18"/>
                <w:szCs w:val="18"/>
              </w:rPr>
              <w:t xml:space="preserve"> точк</w:t>
            </w:r>
            <w:r>
              <w:rPr>
                <w:sz w:val="18"/>
                <w:szCs w:val="18"/>
              </w:rPr>
              <w:t>а</w:t>
            </w:r>
            <w:r w:rsidRPr="008B7BF6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34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35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член </w:t>
            </w:r>
            <w:r w:rsidRPr="008B7BF6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37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38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39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45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46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47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48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49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50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51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52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70-а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70-б</w:t>
            </w:r>
            <w:r>
              <w:rPr>
                <w:sz w:val="18"/>
                <w:szCs w:val="18"/>
              </w:rPr>
              <w:t>;</w:t>
            </w:r>
          </w:p>
          <w:p w:rsidR="008B7BF6" w:rsidRDefault="008B7BF6" w:rsidP="00424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8B7BF6">
              <w:rPr>
                <w:sz w:val="18"/>
                <w:szCs w:val="18"/>
              </w:rPr>
              <w:t xml:space="preserve"> 70-в</w:t>
            </w:r>
            <w:r>
              <w:rPr>
                <w:sz w:val="18"/>
                <w:szCs w:val="18"/>
              </w:rPr>
              <w:t>.</w:t>
            </w:r>
          </w:p>
          <w:p w:rsidR="00424956" w:rsidRDefault="00424956" w:rsidP="00424956">
            <w:pPr>
              <w:rPr>
                <w:sz w:val="18"/>
                <w:szCs w:val="18"/>
              </w:rPr>
            </w:pPr>
          </w:p>
        </w:tc>
      </w:tr>
      <w:tr w:rsidR="00BF685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6856" w:rsidRPr="00A32803" w:rsidRDefault="00BF6856" w:rsidP="000033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6856" w:rsidRDefault="00BF6856" w:rsidP="0000334D">
            <w:r>
              <w:rPr>
                <w:b/>
              </w:rPr>
              <w:t>Закон за заштита и спасување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215/2021)</w:t>
            </w:r>
          </w:p>
          <w:p w:rsidR="00BF6856" w:rsidRPr="006E61E4" w:rsidRDefault="00BF6856" w:rsidP="0000334D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6856" w:rsidRDefault="00BF6856" w:rsidP="00BF6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изменување и дополнување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>- член 115-б, ставови 6, 7 и 8.</w:t>
            </w:r>
          </w:p>
        </w:tc>
      </w:tr>
      <w:tr w:rsidR="0015191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5191B" w:rsidRPr="00A32803" w:rsidRDefault="0015191B" w:rsidP="000033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5191B" w:rsidRDefault="0015191B" w:rsidP="0000334D">
            <w:r>
              <w:rPr>
                <w:b/>
              </w:rPr>
              <w:t xml:space="preserve">Закон за </w:t>
            </w:r>
            <w:r w:rsidRPr="0015191B">
              <w:rPr>
                <w:b/>
              </w:rPr>
              <w:t>безбедност на сообраќајот на патиштата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122/2021)</w:t>
            </w:r>
          </w:p>
          <w:p w:rsidR="0015191B" w:rsidRPr="006E61E4" w:rsidRDefault="0015191B" w:rsidP="0000334D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5191B" w:rsidRDefault="0015191B" w:rsidP="00151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изменување и дополнување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>- член 405.</w:t>
            </w:r>
          </w:p>
        </w:tc>
      </w:tr>
    </w:tbl>
    <w:p w:rsidR="00FD4B10" w:rsidRDefault="00FD4B10" w:rsidP="007A7CC2">
      <w:pPr>
        <w:spacing w:after="0" w:line="240" w:lineRule="auto"/>
        <w:rPr>
          <w:b/>
        </w:rPr>
      </w:pPr>
    </w:p>
    <w:p w:rsidR="00334F32" w:rsidRDefault="00334F32" w:rsidP="007A7CC2">
      <w:pPr>
        <w:spacing w:after="0" w:line="240" w:lineRule="auto"/>
        <w:rPr>
          <w:b/>
        </w:rPr>
      </w:pPr>
    </w:p>
    <w:p w:rsidR="00D92C48" w:rsidRDefault="00D92C48" w:rsidP="007A7CC2">
      <w:pPr>
        <w:spacing w:after="0" w:line="240" w:lineRule="auto"/>
        <w:rPr>
          <w:b/>
        </w:rPr>
      </w:pPr>
    </w:p>
    <w:p w:rsidR="007F3B03" w:rsidRPr="00FD4B10" w:rsidRDefault="007F3B03" w:rsidP="007A7CC2">
      <w:pPr>
        <w:spacing w:after="0" w:line="240" w:lineRule="auto"/>
        <w:rPr>
          <w:b/>
        </w:rPr>
      </w:pPr>
    </w:p>
    <w:p w:rsidR="007F3B03" w:rsidRPr="00226A0C" w:rsidRDefault="007F3B03" w:rsidP="007F3B03">
      <w:pPr>
        <w:spacing w:after="0" w:line="240" w:lineRule="auto"/>
        <w:rPr>
          <w:b/>
        </w:rPr>
      </w:pPr>
      <w:r w:rsidRPr="00226A0C">
        <w:rPr>
          <w:b/>
        </w:rPr>
        <w:lastRenderedPageBreak/>
        <w:t>Закони чиишто одредби престануваат да важат</w:t>
      </w:r>
    </w:p>
    <w:p w:rsidR="007F3B03" w:rsidRDefault="007F3B03" w:rsidP="007F3B0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7F3B03" w:rsidRPr="00055CB1" w:rsidTr="0000334D">
        <w:tc>
          <w:tcPr>
            <w:tcW w:w="1526" w:type="dxa"/>
            <w:shd w:val="clear" w:color="auto" w:fill="BFBFBF" w:themeFill="background1" w:themeFillShade="BF"/>
          </w:tcPr>
          <w:p w:rsidR="007F3B03" w:rsidRPr="000A464E" w:rsidRDefault="007F3B03" w:rsidP="0000334D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F3B03" w:rsidRPr="000A464E" w:rsidRDefault="007F3B03" w:rsidP="0000334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F3B03" w:rsidRPr="000A464E" w:rsidRDefault="007F3B03" w:rsidP="0000334D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7F3B03" w:rsidRPr="00055CB1" w:rsidTr="0000334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F3B03" w:rsidRPr="00A32803" w:rsidRDefault="007F3B03" w:rsidP="000033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F3B03" w:rsidRDefault="007F3B03" w:rsidP="0000334D">
            <w:r>
              <w:rPr>
                <w:b/>
              </w:rPr>
              <w:t>Закон за животната средина</w:t>
            </w:r>
            <w:r>
              <w:t xml:space="preserve"> </w:t>
            </w:r>
            <w:r>
              <w:rPr>
                <w:b/>
              </w:rPr>
              <w:br/>
            </w:r>
            <w:r>
              <w:t>(„Службен весник на Република Македонија“ бр. 53/2005)</w:t>
            </w:r>
          </w:p>
          <w:p w:rsidR="007F3B03" w:rsidRPr="006E61E4" w:rsidRDefault="007F3B03" w:rsidP="0000334D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F3B03" w:rsidRPr="00A13039" w:rsidRDefault="007F3B03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</w:t>
            </w:r>
            <w:r w:rsidRPr="007F3B03">
              <w:rPr>
                <w:sz w:val="18"/>
                <w:szCs w:val="18"/>
              </w:rPr>
              <w:t>управување со електрична и електронска опрема и отпадна електрична и електронска опрема</w:t>
            </w:r>
            <w:r>
              <w:rPr>
                <w:sz w:val="18"/>
                <w:szCs w:val="18"/>
              </w:rPr>
              <w:t xml:space="preserve"> („Службен весник на РСМ“ бр. 176/2021)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>- член 179, ставови 2 и 5.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121BA0" w:rsidRDefault="00121BA0" w:rsidP="008A4075">
      <w:pPr>
        <w:spacing w:after="0" w:line="240" w:lineRule="auto"/>
        <w:rPr>
          <w:b/>
        </w:rPr>
      </w:pPr>
    </w:p>
    <w:p w:rsidR="00D92C48" w:rsidRDefault="00D92C48" w:rsidP="008A4075">
      <w:pPr>
        <w:spacing w:after="0" w:line="240" w:lineRule="auto"/>
        <w:rPr>
          <w:b/>
          <w:lang w:val="en-US"/>
        </w:rPr>
      </w:pPr>
    </w:p>
    <w:p w:rsidR="00640AB4" w:rsidRDefault="00640AB4" w:rsidP="008A4075">
      <w:pPr>
        <w:spacing w:after="0" w:line="240" w:lineRule="auto"/>
        <w:rPr>
          <w:b/>
          <w:lang w:val="en-US"/>
        </w:rPr>
      </w:pPr>
    </w:p>
    <w:p w:rsidR="00640AB4" w:rsidRDefault="00640AB4" w:rsidP="008A4075">
      <w:pPr>
        <w:spacing w:after="0" w:line="240" w:lineRule="auto"/>
        <w:rPr>
          <w:b/>
          <w:lang w:val="en-US"/>
        </w:rPr>
      </w:pPr>
    </w:p>
    <w:p w:rsidR="00640AB4" w:rsidRPr="0009082E" w:rsidRDefault="00640AB4" w:rsidP="008A4075">
      <w:pPr>
        <w:spacing w:after="0" w:line="240" w:lineRule="auto"/>
        <w:rPr>
          <w:b/>
          <w:lang w:val="en-US"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E805C1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805C1" w:rsidP="0032571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9082E" w:rsidRDefault="0009082E" w:rsidP="0009082E">
            <w:r>
              <w:rPr>
                <w:b/>
              </w:rPr>
              <w:t>О</w:t>
            </w:r>
            <w:r w:rsidRPr="0009082E">
              <w:rPr>
                <w:b/>
              </w:rPr>
              <w:t>длука</w:t>
            </w:r>
            <w:r>
              <w:rPr>
                <w:b/>
              </w:rPr>
              <w:t xml:space="preserve"> за изменување на Одлуката</w:t>
            </w:r>
            <w:r w:rsidRPr="0009082E">
              <w:rPr>
                <w:b/>
                <w:lang w:val="en-US"/>
              </w:rPr>
              <w:t xml:space="preserve"> </w:t>
            </w:r>
            <w:r w:rsidRPr="0009082E">
              <w:rPr>
                <w:b/>
              </w:rPr>
              <w:t xml:space="preserve">за одобрување на продолжување на рокот за постоење на кризна состојба на дел од територијата на </w:t>
            </w:r>
            <w:r>
              <w:rPr>
                <w:b/>
              </w:rPr>
              <w:t>Р</w:t>
            </w:r>
            <w:r w:rsidRPr="0009082E">
              <w:rPr>
                <w:b/>
              </w:rPr>
              <w:t xml:space="preserve">епублика </w:t>
            </w:r>
            <w:r>
              <w:rPr>
                <w:b/>
              </w:rPr>
              <w:t>С</w:t>
            </w:r>
            <w:r w:rsidRPr="0009082E">
              <w:rPr>
                <w:b/>
              </w:rPr>
              <w:t xml:space="preserve">еверна </w:t>
            </w:r>
            <w:r>
              <w:rPr>
                <w:b/>
              </w:rPr>
              <w:t>М</w:t>
            </w:r>
            <w:r w:rsidRPr="0009082E">
              <w:rPr>
                <w:b/>
              </w:rPr>
              <w:t xml:space="preserve">акедонија, заради висок ризик од зголемен обем на влез и транзитирање на мигранти низ територијата на </w:t>
            </w:r>
            <w:r>
              <w:rPr>
                <w:b/>
              </w:rPr>
              <w:t>Р</w:t>
            </w:r>
            <w:r w:rsidRPr="0009082E">
              <w:rPr>
                <w:b/>
              </w:rPr>
              <w:t xml:space="preserve">епублика </w:t>
            </w:r>
            <w:r>
              <w:rPr>
                <w:b/>
              </w:rPr>
              <w:t>С</w:t>
            </w:r>
            <w:r w:rsidRPr="0009082E">
              <w:rPr>
                <w:b/>
              </w:rPr>
              <w:t xml:space="preserve">еверна </w:t>
            </w:r>
            <w:r>
              <w:rPr>
                <w:b/>
              </w:rPr>
              <w:t>М</w:t>
            </w:r>
            <w:r w:rsidRPr="0009082E">
              <w:rPr>
                <w:b/>
              </w:rPr>
              <w:t>акедонија и заради заштита на јавното здравје од илегална миграција во услови на посто</w:t>
            </w:r>
            <w:r>
              <w:rPr>
                <w:b/>
              </w:rPr>
              <w:t>ење на пандемија прогласена од С</w:t>
            </w:r>
            <w:r w:rsidRPr="0009082E">
              <w:rPr>
                <w:b/>
              </w:rPr>
              <w:t>ветската здравствена организација за вирусот SARS-COV-2 и спречување од негово ширење, со кои се загрозува безбедноста, здравјето и имотот на населението</w:t>
            </w:r>
            <w:r>
              <w:rPr>
                <w:lang w:val="en-US"/>
              </w:rPr>
              <w:t>,</w:t>
            </w:r>
            <w:r w:rsidR="00BB7655">
              <w:t xml:space="preserve"> </w:t>
            </w:r>
            <w:r w:rsidR="00502EC8" w:rsidRPr="003B23A8">
              <w:t>„Службен весни</w:t>
            </w:r>
            <w:r w:rsidR="00EC4345">
              <w:t>к</w:t>
            </w:r>
            <w:r w:rsidR="00F671F8">
              <w:t xml:space="preserve"> на Република </w:t>
            </w:r>
            <w:r w:rsidR="00BB7655">
              <w:t xml:space="preserve">Северна Македонија“ бр. </w:t>
            </w:r>
            <w:r w:rsidR="00325714">
              <w:t>2</w:t>
            </w:r>
            <w:r>
              <w:t>74</w:t>
            </w:r>
            <w:r w:rsidR="00325714">
              <w:t>/202</w:t>
            </w:r>
            <w:r>
              <w:t>1</w:t>
            </w:r>
          </w:p>
          <w:p w:rsidR="00502EC8" w:rsidRPr="0009082E" w:rsidRDefault="00325714" w:rsidP="0009082E">
            <w:r>
              <w:t xml:space="preserve"> </w:t>
            </w:r>
          </w:p>
          <w:p w:rsidR="00C46183" w:rsidRPr="007A2C1F" w:rsidRDefault="00502EC8" w:rsidP="000A5FF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09082E">
              <w:rPr>
                <w:sz w:val="20"/>
                <w:szCs w:val="20"/>
              </w:rPr>
              <w:t>управување со кризи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E805C1" w:rsidP="00090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Целата </w:t>
            </w:r>
            <w:r w:rsidR="0009082E">
              <w:rPr>
                <w:sz w:val="18"/>
                <w:szCs w:val="18"/>
              </w:rPr>
              <w:t>Одлука за изменување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802661" w:rsidRPr="00BA5138" w:rsidTr="00E805C1">
        <w:tc>
          <w:tcPr>
            <w:tcW w:w="1526" w:type="dxa"/>
            <w:tcBorders>
              <w:bottom w:val="single" w:sz="4" w:space="0" w:color="auto"/>
            </w:tcBorders>
          </w:tcPr>
          <w:p w:rsidR="00802661" w:rsidRPr="00640AB4" w:rsidRDefault="00802661" w:rsidP="00640AB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</w:t>
            </w:r>
            <w:r w:rsidR="00640AB4">
              <w:rPr>
                <w:b/>
                <w:lang w:val="en-US"/>
              </w:rPr>
              <w:t>2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02661" w:rsidRPr="003B23A8" w:rsidRDefault="00640AB4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Pr="00640AB4">
              <w:rPr>
                <w:rFonts w:asciiTheme="minorHAnsi" w:hAnsiTheme="minorHAnsi"/>
                <w:sz w:val="22"/>
                <w:szCs w:val="22"/>
              </w:rPr>
              <w:t>длука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за изменување на Одлуката</w:t>
            </w:r>
            <w:r w:rsidRPr="00640AB4">
              <w:rPr>
                <w:rFonts w:asciiTheme="minorHAnsi" w:hAnsiTheme="minorHAnsi"/>
                <w:sz w:val="22"/>
                <w:szCs w:val="22"/>
              </w:rPr>
              <w:t xml:space="preserve"> за одобрување на продолжување на рокот за постоење на кризна состојба на територијата на </w:t>
            </w: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Pr="00640AB4">
              <w:rPr>
                <w:rFonts w:asciiTheme="minorHAnsi" w:hAnsiTheme="minorHAnsi"/>
                <w:sz w:val="22"/>
                <w:szCs w:val="22"/>
              </w:rPr>
              <w:t xml:space="preserve">епублика </w:t>
            </w:r>
            <w:r>
              <w:rPr>
                <w:rFonts w:asciiTheme="minorHAnsi" w:hAnsiTheme="minorHAnsi"/>
                <w:sz w:val="22"/>
                <w:szCs w:val="22"/>
              </w:rPr>
              <w:t>Северна М</w:t>
            </w:r>
            <w:r w:rsidRPr="00640AB4">
              <w:rPr>
                <w:rFonts w:asciiTheme="minorHAnsi" w:hAnsiTheme="minorHAnsi"/>
                <w:sz w:val="22"/>
                <w:szCs w:val="22"/>
              </w:rPr>
              <w:t xml:space="preserve">акедонија, заради заштита на јавното здравје во услови на постоење на </w:t>
            </w:r>
            <w:r>
              <w:rPr>
                <w:rFonts w:asciiTheme="minorHAnsi" w:hAnsiTheme="minorHAnsi"/>
                <w:sz w:val="22"/>
                <w:szCs w:val="22"/>
              </w:rPr>
              <w:t>п</w:t>
            </w:r>
            <w:r w:rsidRPr="00640AB4">
              <w:rPr>
                <w:rFonts w:asciiTheme="minorHAnsi" w:hAnsiTheme="minorHAnsi"/>
                <w:sz w:val="22"/>
                <w:szCs w:val="22"/>
              </w:rPr>
              <w:t xml:space="preserve">андемија прогласена од </w:t>
            </w: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640AB4">
              <w:rPr>
                <w:rFonts w:asciiTheme="minorHAnsi" w:hAnsiTheme="minorHAnsi"/>
                <w:sz w:val="22"/>
                <w:szCs w:val="22"/>
              </w:rPr>
              <w:t xml:space="preserve">ветската здравствена организација од заразната болест COVID-19 предизвикана од вирусот SARS-COV-2 и заради спречување од негово ширење во зголемен обем со што се загрозува </w:t>
            </w:r>
            <w:r w:rsidRPr="00640AB4">
              <w:rPr>
                <w:rFonts w:asciiTheme="minorHAnsi" w:hAnsiTheme="minorHAnsi"/>
                <w:sz w:val="22"/>
                <w:szCs w:val="22"/>
              </w:rPr>
              <w:lastRenderedPageBreak/>
              <w:t>безбедноста на здравјето на населението</w:t>
            </w:r>
            <w:r w:rsidR="00802661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74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>/202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802661" w:rsidRPr="007A2C1F" w:rsidRDefault="00802661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640AB4" w:rsidRPr="00FD4B10">
              <w:rPr>
                <w:sz w:val="20"/>
                <w:szCs w:val="20"/>
              </w:rPr>
              <w:t xml:space="preserve">Закон за </w:t>
            </w:r>
            <w:r w:rsidR="00640AB4">
              <w:rPr>
                <w:sz w:val="20"/>
                <w:szCs w:val="20"/>
              </w:rPr>
              <w:t>управување со кризи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bottom w:val="single" w:sz="4" w:space="0" w:color="auto"/>
            </w:tcBorders>
          </w:tcPr>
          <w:p w:rsidR="00802661" w:rsidRPr="00F671F8" w:rsidRDefault="00640AB4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Одлука за изменување.</w:t>
            </w:r>
          </w:p>
        </w:tc>
      </w:tr>
      <w:tr w:rsidR="00802661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243E57" w:rsidRDefault="00802661" w:rsidP="00640A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</w:t>
            </w:r>
            <w:r w:rsidR="00640AB4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3B23A8" w:rsidRDefault="00640AB4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определување на добрата и услугите кои подлежат на повластена стапка на данокот на додадена вредност</w:t>
            </w:r>
            <w:r w:rsidR="008026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661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>3/202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802661" w:rsidRPr="007A2C1F" w:rsidRDefault="00802661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640AB4">
              <w:rPr>
                <w:sz w:val="20"/>
                <w:szCs w:val="20"/>
              </w:rPr>
              <w:t>данокот на додадена вредност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F671F8" w:rsidRDefault="00802661" w:rsidP="00640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Целата </w:t>
            </w:r>
            <w:r w:rsidR="00640AB4">
              <w:rPr>
                <w:sz w:val="18"/>
                <w:szCs w:val="18"/>
              </w:rPr>
              <w:t>Одлука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00334D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E05713" w:rsidP="0000334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Pr="00E05713">
              <w:rPr>
                <w:rFonts w:asciiTheme="minorHAnsi" w:hAnsiTheme="minorHAnsi"/>
                <w:sz w:val="22"/>
                <w:szCs w:val="22"/>
              </w:rPr>
              <w:t xml:space="preserve">длука за утврдување на максималниот износ на нето задолжување преку издавање на државни хартии од вредност на домашниот финансиски пазар во 2022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292/2021 </w:t>
            </w:r>
          </w:p>
          <w:p w:rsidR="00E05713" w:rsidRPr="007A2C1F" w:rsidRDefault="00E05713" w:rsidP="0000334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јавен долг</w:t>
            </w:r>
            <w:r>
              <w:t>)</w:t>
            </w:r>
          </w:p>
          <w:p w:rsidR="00E05713" w:rsidRPr="00647975" w:rsidRDefault="00E05713" w:rsidP="0000334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E05713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E05713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методологијата за утврдување на критериуми за распределба на блок-дотации за јавните установи за социјална заштита - домови за стари лица за 2022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208/2021 </w:t>
            </w:r>
          </w:p>
          <w:p w:rsidR="00E05713" w:rsidRPr="007A2C1F" w:rsidRDefault="00E05713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E05713" w:rsidRPr="00647975" w:rsidRDefault="00E0571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E05713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E05713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методологијата за утврдување на критериумите за распределба на блок-дотации за јавните установи за деца - детски градинки и центри за ран детски развој во состав на јавни детски градинки по општини за 2022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182/2021 </w:t>
            </w:r>
          </w:p>
          <w:p w:rsidR="00E05713" w:rsidRPr="007A2C1F" w:rsidRDefault="00E05713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E05713" w:rsidRPr="00647975" w:rsidRDefault="00E0571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E05713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E05713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критериумите за распределба на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блок дотации од областа на културата во 2022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162/2021 </w:t>
            </w:r>
          </w:p>
          <w:p w:rsidR="00E05713" w:rsidRPr="007A2C1F" w:rsidRDefault="00E05713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E05713" w:rsidRPr="00647975" w:rsidRDefault="00E0571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Уредба.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E057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E05713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распределба на  приходите од данокот на додадена вредност по општини за 2022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149/2021 </w:t>
            </w:r>
          </w:p>
          <w:p w:rsidR="00E05713" w:rsidRPr="007A2C1F" w:rsidRDefault="00E05713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E05713" w:rsidRPr="00647975" w:rsidRDefault="00E0571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E05713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E05713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 за распределба на блок дотации за средното образование по општини и Градот Скопје за 2022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182/2021 </w:t>
            </w:r>
          </w:p>
          <w:p w:rsidR="00E05713" w:rsidRPr="007A2C1F" w:rsidRDefault="00E05713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E05713" w:rsidRPr="00647975" w:rsidRDefault="00E0571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00334D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E05713" w:rsidP="0000334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 за распределба на блок дотации за основното образование по општини за 2022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182/2021 </w:t>
            </w:r>
          </w:p>
          <w:p w:rsidR="00E05713" w:rsidRPr="007A2C1F" w:rsidRDefault="00E05713" w:rsidP="0000334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E05713" w:rsidRPr="00647975" w:rsidRDefault="00E05713" w:rsidP="0000334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00334D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E05713" w:rsidP="0000334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 за распределба на </w:t>
            </w:r>
            <w:r w:rsidR="0074038F">
              <w:rPr>
                <w:rFonts w:asciiTheme="minorHAnsi" w:hAnsiTheme="minorHAnsi"/>
                <w:sz w:val="22"/>
                <w:szCs w:val="22"/>
              </w:rPr>
              <w:t>наменски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дотации за основното образование по општини за 2022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182/2021 </w:t>
            </w:r>
          </w:p>
          <w:p w:rsidR="00E05713" w:rsidRPr="007A2C1F" w:rsidRDefault="00E05713" w:rsidP="0000334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E05713" w:rsidRPr="00647975" w:rsidRDefault="00E05713" w:rsidP="0000334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DB0E50" w:rsidRDefault="00E05713" w:rsidP="00DB0E5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01.01.202</w:t>
            </w:r>
            <w:r w:rsidR="00DB0E50">
              <w:rPr>
                <w:b/>
                <w:lang w:val="en-US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DB0E50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распределба на наменски дотации за плати и додатоци на плати за вработените во територијалните противпожарни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единици за 2022 година</w:t>
            </w:r>
            <w:r w:rsidR="00E057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5713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292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>/202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E05713" w:rsidRPr="007A2C1F" w:rsidRDefault="00E05713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DB0E50">
              <w:rPr>
                <w:sz w:val="20"/>
                <w:szCs w:val="20"/>
              </w:rPr>
              <w:t>пожарникарство</w:t>
            </w:r>
            <w:r>
              <w:t>)</w:t>
            </w:r>
          </w:p>
          <w:p w:rsidR="00E05713" w:rsidRPr="00647975" w:rsidRDefault="00E0571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DB0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Целата </w:t>
            </w:r>
            <w:r w:rsidR="00DB0E50">
              <w:rPr>
                <w:sz w:val="18"/>
                <w:szCs w:val="18"/>
              </w:rPr>
              <w:t>Уредба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DB0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</w:t>
            </w:r>
            <w:r w:rsidR="00DB0E50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DB0E50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Програма за развој на дејноста за заштитата на децата за 2022 година</w:t>
            </w:r>
            <w:r w:rsidR="00E0571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05713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293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>/202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E05713" w:rsidRPr="007A2C1F" w:rsidRDefault="00E05713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DB0E50">
              <w:rPr>
                <w:sz w:val="20"/>
                <w:szCs w:val="20"/>
              </w:rPr>
              <w:t>заштита на децата</w:t>
            </w:r>
            <w:r>
              <w:t>)</w:t>
            </w:r>
          </w:p>
          <w:p w:rsidR="00E05713" w:rsidRPr="00647975" w:rsidRDefault="00E0571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DB0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Целата </w:t>
            </w:r>
            <w:r w:rsidR="00DB0E50">
              <w:rPr>
                <w:sz w:val="18"/>
                <w:szCs w:val="18"/>
              </w:rPr>
              <w:t>Програма</w:t>
            </w:r>
            <w:r>
              <w:rPr>
                <w:sz w:val="18"/>
                <w:szCs w:val="18"/>
              </w:rPr>
              <w:t>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DB0E50">
            <w:pPr>
              <w:jc w:val="center"/>
              <w:rPr>
                <w:b/>
              </w:rPr>
            </w:pPr>
            <w:r>
              <w:rPr>
                <w:b/>
              </w:rPr>
              <w:t>01.01.202</w:t>
            </w:r>
            <w:r w:rsidR="00DB0E50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DB0E50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Програма за финансирање на изградба, реконструкција, одржување на објекти и опремување на казнено-поправните и воспитно-поправните установи за 2022 година </w:t>
            </w:r>
            <w:r w:rsidR="00E05713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29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>/202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E05713" w:rsidRPr="007A2C1F" w:rsidRDefault="00E05713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DB0E50">
              <w:rPr>
                <w:sz w:val="20"/>
                <w:szCs w:val="20"/>
              </w:rPr>
              <w:t>извршување на санкциите</w:t>
            </w:r>
            <w:r>
              <w:t>)</w:t>
            </w:r>
          </w:p>
          <w:p w:rsidR="00E05713" w:rsidRPr="00647975" w:rsidRDefault="00E0571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DB0E50" w:rsidP="00DC4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Програма.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B62CB7">
            <w:pPr>
              <w:jc w:val="center"/>
              <w:rPr>
                <w:b/>
              </w:rPr>
            </w:pPr>
            <w:r>
              <w:rPr>
                <w:b/>
              </w:rPr>
              <w:t>01.01.202</w:t>
            </w:r>
            <w:r w:rsidR="00B62CB7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E05713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B62CB7">
              <w:rPr>
                <w:rFonts w:asciiTheme="minorHAnsi" w:hAnsiTheme="minorHAnsi"/>
                <w:sz w:val="22"/>
                <w:szCs w:val="22"/>
              </w:rPr>
              <w:t>сопствените средства на друштвото за управување со отворени и затворени инвестициски фондови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</w:t>
            </w:r>
            <w:r w:rsidR="00B62CB7">
              <w:rPr>
                <w:rFonts w:asciiTheme="minorHAnsi" w:hAnsiTheme="minorHAnsi"/>
                <w:b w:val="0"/>
                <w:sz w:val="22"/>
                <w:szCs w:val="22"/>
              </w:rPr>
              <w:t>45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/202</w:t>
            </w:r>
            <w:r w:rsidR="00B62CB7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E05713" w:rsidRPr="007A2C1F" w:rsidRDefault="00E05713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B62CB7">
              <w:rPr>
                <w:sz w:val="20"/>
                <w:szCs w:val="20"/>
              </w:rPr>
              <w:t>инвестициски фондови</w:t>
            </w:r>
            <w:r>
              <w:t>)</w:t>
            </w:r>
          </w:p>
          <w:p w:rsidR="00E05713" w:rsidRPr="00647975" w:rsidRDefault="00E0571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E05713" w:rsidP="00B62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830DE7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30DE7" w:rsidRPr="00243E57" w:rsidRDefault="00830DE7" w:rsidP="0000334D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30DE7" w:rsidRPr="003B23A8" w:rsidRDefault="00830DE7" w:rsidP="0000334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дозволени вложувања, ограничувања на вложувањата и пречекорување на ограничувањата за вложување на имотот на отворен фонд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233/2021 </w:t>
            </w:r>
          </w:p>
          <w:p w:rsidR="00830DE7" w:rsidRPr="007A2C1F" w:rsidRDefault="00830DE7" w:rsidP="0000334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инвестициски фондови</w:t>
            </w:r>
            <w:r>
              <w:t>)</w:t>
            </w:r>
          </w:p>
          <w:p w:rsidR="00830DE7" w:rsidRPr="00647975" w:rsidRDefault="00830DE7" w:rsidP="0000334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30DE7" w:rsidRPr="00F671F8" w:rsidRDefault="00830DE7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E0571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243E57" w:rsidRDefault="00E05713" w:rsidP="00663270">
            <w:pPr>
              <w:jc w:val="center"/>
              <w:rPr>
                <w:b/>
              </w:rPr>
            </w:pPr>
            <w:r>
              <w:rPr>
                <w:b/>
              </w:rPr>
              <w:t>01.01.202</w:t>
            </w:r>
            <w:r w:rsidR="00663270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3B23A8" w:rsidRDefault="00663270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измена на Правилникот за начинот и постапката на маркетинг на пензиски фондови</w:t>
            </w:r>
            <w:r w:rsidR="00E0571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05713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53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21</w:t>
            </w:r>
            <w:r w:rsidR="00E0571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E05713" w:rsidRPr="007A2C1F" w:rsidRDefault="00E05713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663270">
              <w:rPr>
                <w:sz w:val="20"/>
                <w:szCs w:val="20"/>
              </w:rPr>
              <w:t xml:space="preserve">задолжително капитално финансирано пензиско осигурување, </w:t>
            </w:r>
            <w:r w:rsidR="00663270" w:rsidRPr="00FD4B10">
              <w:rPr>
                <w:sz w:val="20"/>
                <w:szCs w:val="20"/>
              </w:rPr>
              <w:t xml:space="preserve">Закон за </w:t>
            </w:r>
            <w:r w:rsidR="00663270">
              <w:rPr>
                <w:sz w:val="20"/>
                <w:szCs w:val="20"/>
              </w:rPr>
              <w:t>доброволно капитално финансирано пензиско осигурување</w:t>
            </w:r>
            <w:r>
              <w:t>)</w:t>
            </w:r>
          </w:p>
          <w:p w:rsidR="00E05713" w:rsidRPr="00647975" w:rsidRDefault="00E0571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05713" w:rsidRPr="00F671F8" w:rsidRDefault="00663270" w:rsidP="00EA5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изменување</w:t>
            </w:r>
            <w:r w:rsidR="00E05713">
              <w:rPr>
                <w:sz w:val="18"/>
                <w:szCs w:val="18"/>
              </w:rPr>
              <w:t>.</w:t>
            </w:r>
          </w:p>
        </w:tc>
      </w:tr>
      <w:tr w:rsidR="00663270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63270" w:rsidRPr="00243E57" w:rsidRDefault="00663270" w:rsidP="0000334D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63270" w:rsidRPr="003B23A8" w:rsidRDefault="00663270" w:rsidP="0000334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измена и дополнување на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Правилникот за начинот на членство во доброволен пензиски фонд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212/2021 </w:t>
            </w:r>
          </w:p>
          <w:p w:rsidR="00663270" w:rsidRPr="007A2C1F" w:rsidRDefault="00663270" w:rsidP="0000334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доброволно капитално финансирано пензиско осигурување</w:t>
            </w:r>
            <w:r>
              <w:t>)</w:t>
            </w:r>
          </w:p>
          <w:p w:rsidR="00663270" w:rsidRPr="00647975" w:rsidRDefault="00663270" w:rsidP="0000334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63270" w:rsidRPr="00F671F8" w:rsidRDefault="00663270" w:rsidP="00663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Обрасци 11 и 12 од Правилникот за изменување и дополнување.</w:t>
            </w:r>
          </w:p>
        </w:tc>
      </w:tr>
      <w:tr w:rsidR="008318BD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318BD" w:rsidRPr="00243E57" w:rsidRDefault="008318BD" w:rsidP="000033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318BD" w:rsidRPr="003B23A8" w:rsidRDefault="008318BD" w:rsidP="0000334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измена и дополнување на Правилникот за членство во задолжителен пензиски фонд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212/2021 </w:t>
            </w:r>
          </w:p>
          <w:p w:rsidR="008318BD" w:rsidRPr="007A2C1F" w:rsidRDefault="008318BD" w:rsidP="0000334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задолжително капитално финансирано пензиско осигурување</w:t>
            </w:r>
            <w:r>
              <w:t>)</w:t>
            </w:r>
          </w:p>
          <w:p w:rsidR="008318BD" w:rsidRPr="00647975" w:rsidRDefault="008318BD" w:rsidP="0000334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318BD" w:rsidRPr="00F671F8" w:rsidRDefault="008318BD" w:rsidP="00831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Обрасци од членот 5 на Правилникот за изменување и дополнување.</w:t>
            </w:r>
          </w:p>
        </w:tc>
      </w:tr>
      <w:tr w:rsidR="008318BD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318BD" w:rsidRPr="00243E57" w:rsidRDefault="008318BD" w:rsidP="008318BD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318BD" w:rsidRPr="003B23A8" w:rsidRDefault="008318BD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заедничките основни правила за дејностите во циилното воздухопловство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214/2020 </w:t>
            </w:r>
          </w:p>
          <w:p w:rsidR="008318BD" w:rsidRPr="007A2C1F" w:rsidRDefault="008318BD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8318BD" w:rsidRPr="00647975" w:rsidRDefault="008318BD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318BD" w:rsidRPr="00F671F8" w:rsidRDefault="008318BD" w:rsidP="00831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5 од Правилникот: одредбите на ЕУ Регулативата 2018/1139 кои се однесуваат на аеродроми</w:t>
            </w:r>
          </w:p>
        </w:tc>
      </w:tr>
      <w:tr w:rsidR="008318BD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318BD" w:rsidRPr="00243E57" w:rsidRDefault="008318BD" w:rsidP="007335B3">
            <w:pPr>
              <w:jc w:val="center"/>
              <w:rPr>
                <w:b/>
              </w:rPr>
            </w:pPr>
            <w:r>
              <w:rPr>
                <w:b/>
              </w:rPr>
              <w:t>01.01.202</w:t>
            </w:r>
            <w:r w:rsidR="007335B3">
              <w:rPr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318BD" w:rsidRPr="003B23A8" w:rsidRDefault="008318BD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7335B3">
              <w:rPr>
                <w:rFonts w:asciiTheme="minorHAnsi" w:hAnsiTheme="minorHAnsi"/>
                <w:sz w:val="22"/>
                <w:szCs w:val="22"/>
              </w:rPr>
              <w:t>минималните стандарди на информациските системи на друштвата за осигурување, осигурителните брокерски друштва и друштвата за застапување во осигурување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</w:t>
            </w:r>
            <w:r w:rsidR="007335B3">
              <w:rPr>
                <w:rFonts w:asciiTheme="minorHAnsi" w:hAnsiTheme="minorHAnsi"/>
                <w:b w:val="0"/>
                <w:sz w:val="22"/>
                <w:szCs w:val="22"/>
              </w:rPr>
              <w:t>260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/2020 </w:t>
            </w:r>
          </w:p>
          <w:p w:rsidR="008318BD" w:rsidRPr="007A2C1F" w:rsidRDefault="008318BD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7335B3">
              <w:rPr>
                <w:sz w:val="20"/>
                <w:szCs w:val="20"/>
              </w:rPr>
              <w:t>супервизија на осигурување</w:t>
            </w:r>
            <w:r>
              <w:t>)</w:t>
            </w:r>
          </w:p>
          <w:p w:rsidR="008318BD" w:rsidRPr="00647975" w:rsidRDefault="008318BD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318BD" w:rsidRPr="00F671F8" w:rsidRDefault="007335B3" w:rsidP="0035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ставови 6, 7 и 8 од</w:t>
            </w:r>
            <w:r w:rsidR="008318BD">
              <w:rPr>
                <w:sz w:val="18"/>
                <w:szCs w:val="18"/>
              </w:rPr>
              <w:t xml:space="preserve"> Правилник.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F95ACD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F95ACD" w:rsidRPr="007A1355" w:rsidRDefault="00F95ACD" w:rsidP="00F95AC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F95ACD" w:rsidRPr="000A464E" w:rsidTr="00895C44">
        <w:tc>
          <w:tcPr>
            <w:tcW w:w="1526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640AB4" w:rsidRPr="00BA5138" w:rsidTr="00BF3446">
        <w:tc>
          <w:tcPr>
            <w:tcW w:w="1526" w:type="dxa"/>
            <w:tcBorders>
              <w:bottom w:val="single" w:sz="4" w:space="0" w:color="auto"/>
            </w:tcBorders>
          </w:tcPr>
          <w:p w:rsidR="00640AB4" w:rsidRPr="00243E57" w:rsidRDefault="00640AB4" w:rsidP="0000334D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40AB4" w:rsidRPr="003B23A8" w:rsidRDefault="00640AB4" w:rsidP="0000334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определување на добрата и услугите кои подлежат на повластена стапка на данокот на додадена вредност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316/2020 и 178/2021 </w:t>
            </w:r>
          </w:p>
          <w:p w:rsidR="00640AB4" w:rsidRPr="007A2C1F" w:rsidRDefault="00640AB4" w:rsidP="0000334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данокот на додадена вредност</w:t>
            </w:r>
            <w:r>
              <w:t>)</w:t>
            </w:r>
          </w:p>
          <w:p w:rsidR="00640AB4" w:rsidRPr="00647975" w:rsidRDefault="00640AB4" w:rsidP="0000334D"/>
        </w:tc>
        <w:tc>
          <w:tcPr>
            <w:tcW w:w="3575" w:type="dxa"/>
            <w:tcBorders>
              <w:bottom w:val="single" w:sz="4" w:space="0" w:color="auto"/>
            </w:tcBorders>
          </w:tcPr>
          <w:p w:rsidR="00640AB4" w:rsidRPr="00F671F8" w:rsidRDefault="00640AB4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Одлука.</w:t>
            </w:r>
          </w:p>
        </w:tc>
      </w:tr>
      <w:tr w:rsidR="00B62CB7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62CB7" w:rsidRPr="00243E57" w:rsidRDefault="00B62CB7" w:rsidP="000033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62CB7" w:rsidRPr="003B23A8" w:rsidRDefault="00B62CB7" w:rsidP="0000334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утврдување на структурата, пресметката и начинот на одржување на средствата на минималната основна главнивна на друштвото за управување со инвестициски фондови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27/2010 и 195/2014 </w:t>
            </w:r>
          </w:p>
          <w:p w:rsidR="00B62CB7" w:rsidRPr="007A2C1F" w:rsidRDefault="00B62CB7" w:rsidP="0000334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инвестициски фондови</w:t>
            </w:r>
            <w:r>
              <w:t>)</w:t>
            </w:r>
          </w:p>
          <w:p w:rsidR="00B62CB7" w:rsidRPr="00647975" w:rsidRDefault="00B62CB7" w:rsidP="0000334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62CB7" w:rsidRPr="00F671F8" w:rsidRDefault="00B62CB7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830DE7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30DE7" w:rsidRPr="00243E57" w:rsidRDefault="00830DE7" w:rsidP="0000334D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30DE7" w:rsidRPr="003B23A8" w:rsidRDefault="00830DE7" w:rsidP="0000334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дозволени вложувања, ограничувања на вложувањата и пречекорување на ограничувањата за вложување на имотот на отворен фонд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153/2009 </w:t>
            </w:r>
          </w:p>
          <w:p w:rsidR="00830DE7" w:rsidRPr="007A2C1F" w:rsidRDefault="00830DE7" w:rsidP="0000334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инвестициски фондови</w:t>
            </w:r>
            <w:r>
              <w:t>)</w:t>
            </w:r>
          </w:p>
          <w:p w:rsidR="00830DE7" w:rsidRPr="00647975" w:rsidRDefault="00830DE7" w:rsidP="0000334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30DE7" w:rsidRPr="00F671F8" w:rsidRDefault="00830DE7" w:rsidP="00003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F95ACD" w:rsidRDefault="00F95ACD" w:rsidP="00000905">
      <w:pPr>
        <w:spacing w:after="0" w:line="240" w:lineRule="auto"/>
        <w:rPr>
          <w:b/>
        </w:rPr>
      </w:pPr>
    </w:p>
    <w:sectPr w:rsidR="00F95ACD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C2CDC"/>
    <w:multiLevelType w:val="hybridMultilevel"/>
    <w:tmpl w:val="7AF2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8083C"/>
    <w:multiLevelType w:val="hybridMultilevel"/>
    <w:tmpl w:val="39CA880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9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2"/>
  </w:num>
  <w:num w:numId="4">
    <w:abstractNumId w:val="13"/>
  </w:num>
  <w:num w:numId="5">
    <w:abstractNumId w:val="45"/>
  </w:num>
  <w:num w:numId="6">
    <w:abstractNumId w:val="10"/>
  </w:num>
  <w:num w:numId="7">
    <w:abstractNumId w:val="24"/>
  </w:num>
  <w:num w:numId="8">
    <w:abstractNumId w:val="44"/>
  </w:num>
  <w:num w:numId="9">
    <w:abstractNumId w:val="29"/>
  </w:num>
  <w:num w:numId="10">
    <w:abstractNumId w:val="12"/>
  </w:num>
  <w:num w:numId="11">
    <w:abstractNumId w:val="26"/>
  </w:num>
  <w:num w:numId="12">
    <w:abstractNumId w:val="1"/>
  </w:num>
  <w:num w:numId="13">
    <w:abstractNumId w:val="37"/>
  </w:num>
  <w:num w:numId="14">
    <w:abstractNumId w:val="32"/>
  </w:num>
  <w:num w:numId="15">
    <w:abstractNumId w:val="46"/>
  </w:num>
  <w:num w:numId="16">
    <w:abstractNumId w:val="34"/>
  </w:num>
  <w:num w:numId="17">
    <w:abstractNumId w:val="48"/>
  </w:num>
  <w:num w:numId="18">
    <w:abstractNumId w:val="8"/>
  </w:num>
  <w:num w:numId="19">
    <w:abstractNumId w:val="47"/>
  </w:num>
  <w:num w:numId="20">
    <w:abstractNumId w:val="28"/>
  </w:num>
  <w:num w:numId="21">
    <w:abstractNumId w:val="31"/>
  </w:num>
  <w:num w:numId="22">
    <w:abstractNumId w:val="30"/>
  </w:num>
  <w:num w:numId="23">
    <w:abstractNumId w:val="23"/>
  </w:num>
  <w:num w:numId="24">
    <w:abstractNumId w:val="3"/>
  </w:num>
  <w:num w:numId="25">
    <w:abstractNumId w:val="41"/>
  </w:num>
  <w:num w:numId="26">
    <w:abstractNumId w:val="4"/>
  </w:num>
  <w:num w:numId="27">
    <w:abstractNumId w:val="18"/>
  </w:num>
  <w:num w:numId="28">
    <w:abstractNumId w:val="20"/>
  </w:num>
  <w:num w:numId="29">
    <w:abstractNumId w:val="0"/>
  </w:num>
  <w:num w:numId="30">
    <w:abstractNumId w:val="40"/>
  </w:num>
  <w:num w:numId="31">
    <w:abstractNumId w:val="39"/>
  </w:num>
  <w:num w:numId="32">
    <w:abstractNumId w:val="27"/>
  </w:num>
  <w:num w:numId="33">
    <w:abstractNumId w:val="17"/>
  </w:num>
  <w:num w:numId="34">
    <w:abstractNumId w:val="5"/>
  </w:num>
  <w:num w:numId="35">
    <w:abstractNumId w:val="38"/>
  </w:num>
  <w:num w:numId="36">
    <w:abstractNumId w:val="36"/>
  </w:num>
  <w:num w:numId="37">
    <w:abstractNumId w:val="19"/>
  </w:num>
  <w:num w:numId="38">
    <w:abstractNumId w:val="21"/>
  </w:num>
  <w:num w:numId="39">
    <w:abstractNumId w:val="11"/>
  </w:num>
  <w:num w:numId="40">
    <w:abstractNumId w:val="2"/>
  </w:num>
  <w:num w:numId="41">
    <w:abstractNumId w:val="33"/>
  </w:num>
  <w:num w:numId="42">
    <w:abstractNumId w:val="14"/>
  </w:num>
  <w:num w:numId="43">
    <w:abstractNumId w:val="43"/>
  </w:num>
  <w:num w:numId="44">
    <w:abstractNumId w:val="22"/>
  </w:num>
  <w:num w:numId="45">
    <w:abstractNumId w:val="15"/>
  </w:num>
  <w:num w:numId="46">
    <w:abstractNumId w:val="25"/>
  </w:num>
  <w:num w:numId="47">
    <w:abstractNumId w:val="16"/>
  </w:num>
  <w:num w:numId="48">
    <w:abstractNumId w:val="35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67B57"/>
    <w:rsid w:val="000736CA"/>
    <w:rsid w:val="000767ED"/>
    <w:rsid w:val="00084076"/>
    <w:rsid w:val="00087B12"/>
    <w:rsid w:val="0009082E"/>
    <w:rsid w:val="000916D9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1BA0"/>
    <w:rsid w:val="00122D73"/>
    <w:rsid w:val="00127657"/>
    <w:rsid w:val="00130306"/>
    <w:rsid w:val="00133EA5"/>
    <w:rsid w:val="0013479A"/>
    <w:rsid w:val="00135041"/>
    <w:rsid w:val="00135571"/>
    <w:rsid w:val="001411D7"/>
    <w:rsid w:val="00147101"/>
    <w:rsid w:val="0015191B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4CFE"/>
    <w:rsid w:val="00226A0C"/>
    <w:rsid w:val="00226E84"/>
    <w:rsid w:val="00230D8D"/>
    <w:rsid w:val="002317A5"/>
    <w:rsid w:val="00233E91"/>
    <w:rsid w:val="0023736E"/>
    <w:rsid w:val="00237DFB"/>
    <w:rsid w:val="002400E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10FD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0A0C"/>
    <w:rsid w:val="002B162E"/>
    <w:rsid w:val="002B1B80"/>
    <w:rsid w:val="002C2551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277B5"/>
    <w:rsid w:val="00331F9B"/>
    <w:rsid w:val="003326AD"/>
    <w:rsid w:val="00334B30"/>
    <w:rsid w:val="00334F32"/>
    <w:rsid w:val="00341AAF"/>
    <w:rsid w:val="003426A8"/>
    <w:rsid w:val="00350CEF"/>
    <w:rsid w:val="0035145E"/>
    <w:rsid w:val="00351D99"/>
    <w:rsid w:val="003524A6"/>
    <w:rsid w:val="0035334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9402E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5DD5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4956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B1F02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E734A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773D5"/>
    <w:rsid w:val="00580A2E"/>
    <w:rsid w:val="00582FB7"/>
    <w:rsid w:val="00586000"/>
    <w:rsid w:val="00586488"/>
    <w:rsid w:val="00587D8B"/>
    <w:rsid w:val="005912EB"/>
    <w:rsid w:val="00593240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176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0AB4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270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35B3"/>
    <w:rsid w:val="00735BC4"/>
    <w:rsid w:val="00737CA7"/>
    <w:rsid w:val="0074038F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59DA"/>
    <w:rsid w:val="0079667F"/>
    <w:rsid w:val="007A1355"/>
    <w:rsid w:val="007A2C1F"/>
    <w:rsid w:val="007A5F80"/>
    <w:rsid w:val="007A79A8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3B03"/>
    <w:rsid w:val="007F521A"/>
    <w:rsid w:val="007F5422"/>
    <w:rsid w:val="007F556E"/>
    <w:rsid w:val="00802661"/>
    <w:rsid w:val="008062EE"/>
    <w:rsid w:val="00811855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0DE7"/>
    <w:rsid w:val="008317E7"/>
    <w:rsid w:val="008318BD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6A7E"/>
    <w:rsid w:val="0087735C"/>
    <w:rsid w:val="008777F3"/>
    <w:rsid w:val="00882D9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B7BF6"/>
    <w:rsid w:val="008C06DC"/>
    <w:rsid w:val="008C3DFF"/>
    <w:rsid w:val="008C6800"/>
    <w:rsid w:val="008C7C73"/>
    <w:rsid w:val="008D078E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322D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5CCA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2CAC"/>
    <w:rsid w:val="00B157A4"/>
    <w:rsid w:val="00B16BCD"/>
    <w:rsid w:val="00B22FC7"/>
    <w:rsid w:val="00B245F4"/>
    <w:rsid w:val="00B26AF4"/>
    <w:rsid w:val="00B26D84"/>
    <w:rsid w:val="00B27353"/>
    <w:rsid w:val="00B27F90"/>
    <w:rsid w:val="00B324DF"/>
    <w:rsid w:val="00B33B6B"/>
    <w:rsid w:val="00B407CD"/>
    <w:rsid w:val="00B43DA8"/>
    <w:rsid w:val="00B4542B"/>
    <w:rsid w:val="00B469E3"/>
    <w:rsid w:val="00B47F8F"/>
    <w:rsid w:val="00B50085"/>
    <w:rsid w:val="00B50775"/>
    <w:rsid w:val="00B51BD0"/>
    <w:rsid w:val="00B524BC"/>
    <w:rsid w:val="00B545AB"/>
    <w:rsid w:val="00B61AF7"/>
    <w:rsid w:val="00B62CB7"/>
    <w:rsid w:val="00B66792"/>
    <w:rsid w:val="00B734C9"/>
    <w:rsid w:val="00B7390E"/>
    <w:rsid w:val="00B74521"/>
    <w:rsid w:val="00B75C70"/>
    <w:rsid w:val="00B80335"/>
    <w:rsid w:val="00B82893"/>
    <w:rsid w:val="00B84FF9"/>
    <w:rsid w:val="00B85DCB"/>
    <w:rsid w:val="00B86AE1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3446"/>
    <w:rsid w:val="00BF483A"/>
    <w:rsid w:val="00BF5C1F"/>
    <w:rsid w:val="00BF6856"/>
    <w:rsid w:val="00C019BB"/>
    <w:rsid w:val="00C03D75"/>
    <w:rsid w:val="00C040C3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794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46D4F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39D7"/>
    <w:rsid w:val="00D85764"/>
    <w:rsid w:val="00D85E11"/>
    <w:rsid w:val="00D90B8F"/>
    <w:rsid w:val="00D92C48"/>
    <w:rsid w:val="00D972D7"/>
    <w:rsid w:val="00D97AF1"/>
    <w:rsid w:val="00DA1B27"/>
    <w:rsid w:val="00DA3B8F"/>
    <w:rsid w:val="00DB0D5A"/>
    <w:rsid w:val="00DB0E50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D21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05713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5C1"/>
    <w:rsid w:val="00E80C8D"/>
    <w:rsid w:val="00E83783"/>
    <w:rsid w:val="00E86726"/>
    <w:rsid w:val="00E86FEE"/>
    <w:rsid w:val="00E96561"/>
    <w:rsid w:val="00E97C81"/>
    <w:rsid w:val="00EA0143"/>
    <w:rsid w:val="00EA0332"/>
    <w:rsid w:val="00EA0450"/>
    <w:rsid w:val="00EA1DC8"/>
    <w:rsid w:val="00EA2D26"/>
    <w:rsid w:val="00EA48FD"/>
    <w:rsid w:val="00EA5621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077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CD"/>
    <w:rsid w:val="00F95AE6"/>
    <w:rsid w:val="00F960A7"/>
    <w:rsid w:val="00FA2FEA"/>
    <w:rsid w:val="00FA4B74"/>
    <w:rsid w:val="00FA5602"/>
    <w:rsid w:val="00FA59FC"/>
    <w:rsid w:val="00FA7E9F"/>
    <w:rsid w:val="00FB2B2C"/>
    <w:rsid w:val="00FB6162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2021-01-03T16:24:00Z</cp:lastPrinted>
  <dcterms:created xsi:type="dcterms:W3CDTF">2022-01-03T08:42:00Z</dcterms:created>
  <dcterms:modified xsi:type="dcterms:W3CDTF">2022-01-03T08:42:00Z</dcterms:modified>
</cp:coreProperties>
</file>